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31C1" w:rsidRDefault="00F85E67">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D331C1" w:rsidRDefault="00F85E67">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D331C1" w:rsidRDefault="00F85E67">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D331C1" w:rsidRDefault="00F85E67">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D331C1" w:rsidRDefault="00F85E67">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D331C1" w:rsidRDefault="00F85E67">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D331C1" w:rsidRDefault="00F85E67">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D331C1" w:rsidRDefault="00F85E67">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D331C1" w:rsidRDefault="00F85E67">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D331C1" w:rsidRDefault="00F85E67">
      <w:pPr>
        <w:rPr>
          <w:rFonts w:ascii="Arial" w:eastAsia="Arial" w:hAnsi="Arial"/>
          <w:sz w:val="24"/>
          <w:szCs w:val="24"/>
        </w:rPr>
      </w:pPr>
      <w:r>
        <w:rPr>
          <w:rFonts w:ascii="Arial" w:eastAsia="Arial" w:hAnsi="Arial"/>
          <w:sz w:val="24"/>
          <w:szCs w:val="24"/>
        </w:rPr>
        <w:t>Part E (dealing with staff transfer on exit) shall apply to every Contract.</w:t>
      </w:r>
    </w:p>
    <w:p w:rsidR="00D331C1" w:rsidRDefault="00F85E67">
      <w:pPr>
        <w:pBdr>
          <w:top w:val="nil"/>
          <w:left w:val="nil"/>
          <w:bottom w:val="nil"/>
          <w:right w:val="nil"/>
          <w:between w:val="nil"/>
        </w:pBdr>
        <w:rPr>
          <w:rFonts w:ascii="Arial" w:eastAsia="Arial" w:hAnsi="Arial"/>
          <w:sz w:val="24"/>
          <w:szCs w:val="24"/>
        </w:rPr>
      </w:pPr>
      <w:r>
        <w:rPr>
          <w:rFonts w:ascii="Arial" w:eastAsia="Arial" w:hAnsi="Arial"/>
          <w:sz w:val="24"/>
          <w:szCs w:val="24"/>
        </w:rPr>
        <w:t>For Cen</w:t>
      </w:r>
      <w:r>
        <w:rPr>
          <w:rFonts w:ascii="Arial" w:eastAsia="Arial" w:hAnsi="Arial"/>
          <w:sz w:val="24"/>
          <w:szCs w:val="24"/>
        </w:rPr>
        <w:t>tral Government Authorities, if you need further guidance on this Schedule contact the Government Legal Department’s Employment Law Group.  If you are a non-Central Government Authority, please be sure to obtain your own legal advice on use of this Schedul</w:t>
      </w:r>
      <w:r>
        <w:rPr>
          <w:rFonts w:ascii="Arial" w:eastAsia="Arial" w:hAnsi="Arial"/>
          <w:sz w:val="24"/>
          <w:szCs w:val="24"/>
        </w:rPr>
        <w:t>e as required.]</w:t>
      </w:r>
    </w:p>
    <w:p w:rsidR="00D331C1" w:rsidRDefault="00D331C1">
      <w:pPr>
        <w:keepNext/>
        <w:pBdr>
          <w:top w:val="nil"/>
          <w:left w:val="nil"/>
          <w:bottom w:val="nil"/>
          <w:right w:val="nil"/>
          <w:between w:val="nil"/>
        </w:pBdr>
        <w:rPr>
          <w:rFonts w:ascii="Arial" w:eastAsia="Arial" w:hAnsi="Arial"/>
          <w:b/>
          <w:smallCaps/>
          <w:color w:val="000000"/>
          <w:sz w:val="24"/>
          <w:szCs w:val="24"/>
        </w:rPr>
      </w:pPr>
      <w:bookmarkStart w:id="1" w:name="_GoBack"/>
      <w:bookmarkEnd w:id="1"/>
    </w:p>
    <w:p w:rsidR="00D331C1" w:rsidRDefault="00F85E67">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331C1" w:rsidRDefault="00F85E67">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Ind w:w="-115" w:type="dxa"/>
        <w:tblLayout w:type="fixed"/>
        <w:tblLook w:val="0400" w:firstRow="0" w:lastRow="0" w:firstColumn="0" w:lastColumn="0" w:noHBand="0" w:noVBand="1"/>
      </w:tblPr>
      <w:tblGrid>
        <w:gridCol w:w="2917"/>
        <w:gridCol w:w="6109"/>
      </w:tblGrid>
      <w:tr w:rsidR="00D331C1">
        <w:tc>
          <w:tcPr>
            <w:tcW w:w="2917" w:type="dxa"/>
          </w:tcPr>
          <w:p w:rsidR="00D331C1" w:rsidRDefault="00F85E67">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D331C1" w:rsidRDefault="00F85E67">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w:t>
            </w:r>
            <w:r>
              <w:rPr>
                <w:rFonts w:ascii="Arial" w:eastAsia="Arial" w:hAnsi="Arial"/>
                <w:sz w:val="24"/>
                <w:szCs w:val="24"/>
              </w:rPr>
              <w:lastRenderedPageBreak/>
              <w:t xml:space="preserve">event of transfers of undertakings, businesses or parts of undertakings or businesses, as amended </w:t>
            </w:r>
            <w:r>
              <w:rPr>
                <w:rFonts w:ascii="Arial" w:eastAsia="Arial" w:hAnsi="Arial"/>
                <w:sz w:val="24"/>
                <w:szCs w:val="24"/>
              </w:rPr>
              <w:t>or re-enacted from time to time;</w:t>
            </w:r>
          </w:p>
          <w:p w:rsidR="00D331C1" w:rsidRDefault="00D331C1">
            <w:pPr>
              <w:numPr>
                <w:ilvl w:val="0"/>
                <w:numId w:val="8"/>
              </w:numPr>
              <w:tabs>
                <w:tab w:val="left" w:pos="-179"/>
                <w:tab w:val="left" w:pos="-9"/>
              </w:tabs>
              <w:spacing w:after="120"/>
              <w:rPr>
                <w:rFonts w:ascii="Arial" w:eastAsia="Arial" w:hAnsi="Arial"/>
                <w:sz w:val="24"/>
                <w:szCs w:val="24"/>
              </w:rPr>
            </w:pPr>
          </w:p>
        </w:tc>
      </w:tr>
      <w:tr w:rsidR="00D331C1">
        <w:tc>
          <w:tcPr>
            <w:tcW w:w="2917" w:type="dxa"/>
          </w:tcPr>
          <w:p w:rsidR="00D331C1" w:rsidRDefault="00F85E67">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D331C1" w:rsidRDefault="00F85E67">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rsidR="00D331C1" w:rsidRDefault="00F85E67">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D331C1">
        <w:tc>
          <w:tcPr>
            <w:tcW w:w="2917" w:type="dxa"/>
          </w:tcPr>
          <w:p w:rsidR="00D331C1" w:rsidRDefault="00D331C1">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31C1" w:rsidRDefault="00F85E67">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D331C1">
        <w:tc>
          <w:tcPr>
            <w:tcW w:w="2917" w:type="dxa"/>
          </w:tcPr>
          <w:p w:rsidR="00D331C1" w:rsidRDefault="00D331C1">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31C1" w:rsidRDefault="00F85E67">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discrimination on grounds of  sex, race, disability, age, religion or belief</w:t>
            </w:r>
            <w:r>
              <w:rPr>
                <w:rFonts w:ascii="Arial" w:eastAsia="Arial" w:hAnsi="Arial"/>
                <w:sz w:val="24"/>
                <w:szCs w:val="24"/>
              </w:rPr>
              <w:t xml:space="preserve">, gender reassignment, marriage or civil partnership, pregnancy and maternity  or sexual orientation or claims for equal pay; </w:t>
            </w:r>
          </w:p>
        </w:tc>
      </w:tr>
      <w:tr w:rsidR="00D331C1">
        <w:tc>
          <w:tcPr>
            <w:tcW w:w="2917" w:type="dxa"/>
          </w:tcPr>
          <w:p w:rsidR="00D331C1" w:rsidRDefault="00D331C1">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31C1" w:rsidRDefault="00F85E67">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D331C1">
        <w:tc>
          <w:tcPr>
            <w:tcW w:w="2917" w:type="dxa"/>
          </w:tcPr>
          <w:p w:rsidR="00D331C1" w:rsidRDefault="00D331C1">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31C1" w:rsidRDefault="00F85E67">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D331C1">
        <w:tc>
          <w:tcPr>
            <w:tcW w:w="2917" w:type="dxa"/>
          </w:tcPr>
          <w:p w:rsidR="00D331C1" w:rsidRDefault="00D331C1">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31C1" w:rsidRDefault="00F85E67">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D331C1">
        <w:tc>
          <w:tcPr>
            <w:tcW w:w="2917" w:type="dxa"/>
          </w:tcPr>
          <w:p w:rsidR="00D331C1" w:rsidRDefault="00D331C1">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31C1" w:rsidRDefault="00F85E67">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D331C1" w:rsidRDefault="00F85E67">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olor w:val="000000"/>
                <w:sz w:val="24"/>
                <w:szCs w:val="24"/>
              </w:rPr>
              <w:t>Subcontractor);</w:t>
            </w:r>
          </w:p>
        </w:tc>
      </w:tr>
      <w:tr w:rsidR="00D331C1">
        <w:trPr>
          <w:trHeight w:val="3560"/>
        </w:trPr>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D331C1" w:rsidRDefault="00F85E67">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D331C1" w:rsidRDefault="00F85E67">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D331C1" w:rsidRDefault="00F85E67">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D331C1">
        <w:trPr>
          <w:trHeight w:val="1824"/>
        </w:trPr>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D331C1" w:rsidRDefault="00F85E67">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D331C1" w:rsidRDefault="00F85E67">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olor w:val="000000"/>
                <w:sz w:val="24"/>
                <w:szCs w:val="24"/>
              </w:rPr>
              <w:t>);</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D331C1" w:rsidRDefault="00F85E67">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D331C1" w:rsidRDefault="00F85E67">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olor w:val="000000"/>
                <w:sz w:val="24"/>
                <w:szCs w:val="24"/>
              </w:rPr>
              <w:t>l Employees because they remain continuously employed by the Supplier (or Subcontractor), references to the Relevant Transfer Date shall become references to the Start Date;</w:t>
            </w:r>
          </w:p>
        </w:tc>
      </w:tr>
      <w:tr w:rsidR="00D331C1">
        <w:tc>
          <w:tcPr>
            <w:tcW w:w="2917" w:type="dxa"/>
          </w:tcPr>
          <w:p w:rsidR="00D331C1" w:rsidRDefault="00F85E67">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D331C1" w:rsidRDefault="00F85E67">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Legislation), but including in an anonymised format:</w:t>
            </w:r>
          </w:p>
          <w:p w:rsidR="00D331C1" w:rsidRDefault="00F85E67">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D331C1">
        <w:tc>
          <w:tcPr>
            <w:tcW w:w="2917" w:type="dxa"/>
          </w:tcPr>
          <w:p w:rsidR="00D331C1" w:rsidRDefault="00D331C1">
            <w:pPr>
              <w:pBdr>
                <w:top w:val="nil"/>
                <w:left w:val="nil"/>
                <w:bottom w:val="nil"/>
                <w:right w:val="nil"/>
                <w:between w:val="nil"/>
              </w:pBdr>
              <w:spacing w:before="120" w:after="120"/>
              <w:ind w:left="709"/>
              <w:rPr>
                <w:rFonts w:ascii="Arial" w:eastAsia="Arial" w:hAnsi="Arial"/>
                <w:b/>
                <w:color w:val="000000"/>
                <w:sz w:val="24"/>
                <w:szCs w:val="24"/>
              </w:rPr>
            </w:pPr>
          </w:p>
          <w:p w:rsidR="00D331C1" w:rsidRDefault="00D331C1">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D331C1" w:rsidRDefault="00F85E6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D331C1" w:rsidRDefault="00F85E67">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D331C1" w:rsidRDefault="00F85E67">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olor w:val="000000"/>
                <w:sz w:val="24"/>
                <w:szCs w:val="24"/>
              </w:rPr>
              <w:t>st will no longer be provided by the Supplier;</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D331C1" w:rsidRDefault="00F85E67">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D331C1" w:rsidRDefault="00F85E67">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D331C1">
        <w:tc>
          <w:tcPr>
            <w:tcW w:w="2917" w:type="dxa"/>
          </w:tcPr>
          <w:p w:rsidR="00D331C1" w:rsidRDefault="00F85E67">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D331C1" w:rsidRDefault="00F85E67">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Former Supplier, those employees of the Former Supplier to whom the Employment Regulations </w:t>
            </w:r>
            <w:r>
              <w:rPr>
                <w:rFonts w:ascii="Arial" w:eastAsia="Arial" w:hAnsi="Arial"/>
                <w:color w:val="000000"/>
                <w:sz w:val="24"/>
                <w:szCs w:val="24"/>
              </w:rPr>
              <w:t>will apply on the Relevant Transfer Date.</w:t>
            </w:r>
          </w:p>
        </w:tc>
      </w:tr>
    </w:tbl>
    <w:p w:rsidR="00D331C1" w:rsidRDefault="00F85E67">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D331C1" w:rsidRDefault="00F85E67">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D331C1" w:rsidRDefault="00F85E67">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D331C1" w:rsidRDefault="00F85E67">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enforce any term of this Call-Off Contract but this does not affect any right or remedy of any person which exists or is available otherwi</w:t>
      </w:r>
      <w:r>
        <w:rPr>
          <w:rFonts w:ascii="Arial" w:eastAsia="Arial" w:hAnsi="Arial"/>
          <w:color w:val="000000"/>
          <w:sz w:val="24"/>
          <w:szCs w:val="24"/>
        </w:rPr>
        <w:t xml:space="preserve">se than pursuant to that Act. </w:t>
      </w:r>
    </w:p>
    <w:p w:rsidR="00D331C1" w:rsidRDefault="00F85E67">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w:t>
      </w:r>
      <w:r>
        <w:rPr>
          <w:rFonts w:ascii="Arial" w:eastAsia="Arial" w:hAnsi="Arial"/>
          <w:color w:val="000000"/>
          <w:sz w:val="24"/>
          <w:szCs w:val="24"/>
        </w:rPr>
        <w:t>ine.</w:t>
      </w:r>
    </w:p>
    <w:p w:rsidR="00D331C1" w:rsidRDefault="00F85E67">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D331C1" w:rsidRDefault="00F85E67">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w:t>
      </w:r>
      <w:r>
        <w:rPr>
          <w:rFonts w:ascii="Arial Bold" w:eastAsia="Arial Bold" w:hAnsi="Arial Bold" w:cs="Arial Bold"/>
          <w:b/>
          <w:color w:val="000000"/>
          <w:sz w:val="24"/>
          <w:szCs w:val="24"/>
        </w:rPr>
        <w:t>pply</w:t>
      </w:r>
    </w:p>
    <w:p w:rsidR="00D331C1" w:rsidRDefault="00F85E67">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D331C1" w:rsidRDefault="00F85E67">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D331C1" w:rsidRDefault="00F85E67">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D331C1" w:rsidRDefault="00F85E67">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D331C1" w:rsidRDefault="00F85E67">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D331C1" w:rsidRDefault="00F85E67">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331C1" w:rsidRDefault="00F85E67">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331C1" w:rsidRDefault="00F85E67">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331C1" w:rsidRDefault="00F85E67">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331C1" w:rsidRDefault="00F85E67">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D331C1" w:rsidRDefault="00F85E67">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D331C1" w:rsidRDefault="00D331C1">
      <w:pPr>
        <w:ind w:left="357"/>
        <w:rPr>
          <w:rFonts w:ascii="Arial" w:eastAsia="Arial" w:hAnsi="Arial"/>
          <w:sz w:val="24"/>
          <w:szCs w:val="24"/>
        </w:rPr>
      </w:pPr>
    </w:p>
    <w:p w:rsidR="00D331C1" w:rsidRDefault="00F85E67">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D331C1" w:rsidRDefault="00F85E67">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D331C1" w:rsidRDefault="00F85E67">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rsidR="00D331C1" w:rsidRDefault="00F85E67">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rsidR="00D331C1" w:rsidRDefault="00F85E67">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(i) the Buyer; and (ii) the Supplier and/or any Subcontractor (as appropriate).</w:t>
      </w:r>
    </w:p>
    <w:p w:rsidR="00D331C1" w:rsidRDefault="00F85E67">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D331C1" w:rsidRDefault="00F85E67">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D331C1" w:rsidRDefault="00F85E67">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w:t>
      </w:r>
      <w:r>
        <w:rPr>
          <w:rFonts w:ascii="Arial" w:eastAsia="Arial" w:hAnsi="Arial"/>
          <w:color w:val="000000"/>
          <w:sz w:val="24"/>
          <w:szCs w:val="24"/>
        </w:rPr>
        <w:t>presenting the Transferring Buyer Employees arising from or connected with any failure by the Buyer to comply with any legal obligation to such trade union, body or person arising before the Relevant Transfer Date;</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w:t>
      </w:r>
      <w:r>
        <w:rPr>
          <w:rFonts w:ascii="Arial" w:eastAsia="Arial" w:hAnsi="Arial"/>
          <w:color w:val="000000"/>
          <w:sz w:val="24"/>
          <w:szCs w:val="24"/>
        </w:rPr>
        <w:t>r other statutory authority in respect of any financial obligation including, but not limited to, PAYE and primary and secondary national insurance contributions:</w:t>
      </w:r>
    </w:p>
    <w:p w:rsidR="00D331C1" w:rsidRDefault="00F85E67">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w:t>
      </w:r>
      <w:r>
        <w:rPr>
          <w:rFonts w:ascii="Arial" w:eastAsia="Arial" w:hAnsi="Arial"/>
          <w:color w:val="000000"/>
          <w:sz w:val="24"/>
          <w:szCs w:val="24"/>
        </w:rPr>
        <w:t>emand by HMRC or other statutory authority relates to financial obligations arising before the Relevant Transfer Date; and</w:t>
      </w:r>
    </w:p>
    <w:p w:rsidR="00D331C1" w:rsidRDefault="00F85E67">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w:t>
      </w:r>
      <w:r>
        <w:rPr>
          <w:rFonts w:ascii="Arial" w:eastAsia="Arial" w:hAnsi="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olor w:val="000000"/>
          <w:sz w:val="24"/>
          <w:szCs w:val="24"/>
        </w:rPr>
        <w:t>bligations arising before the Relevant Transfer Date.</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olor w:val="000000"/>
          <w:sz w:val="24"/>
          <w:szCs w:val="24"/>
        </w:rPr>
        <w:t xml:space="preserve"> Buyer Employees arising before the Relevant Transfer Date;</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olor w:val="000000"/>
          <w:sz w:val="24"/>
          <w:szCs w:val="24"/>
        </w:rPr>
        <w:t>propriate may be liable by virtue of the Employment Regulations and/or the Acquired Rights Directive; and</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w:t>
      </w:r>
      <w:r>
        <w:rPr>
          <w:rFonts w:ascii="Arial" w:eastAsia="Arial" w:hAnsi="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olor w:val="000000"/>
          <w:sz w:val="24"/>
          <w:szCs w:val="24"/>
        </w:rPr>
        <w:t>tractor to comply with regulation 13(4) of the Employment Regulations.</w:t>
      </w: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w:t>
      </w:r>
      <w:r>
        <w:rPr>
          <w:rFonts w:ascii="Arial" w:eastAsia="Arial" w:hAnsi="Arial"/>
          <w:color w:val="000000"/>
          <w:sz w:val="24"/>
          <w:szCs w:val="24"/>
        </w:rPr>
        <w:t xml:space="preserve"> Subcontractor to occur in the period from (and including) the Relevant Transfer Date; or</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D331C1" w:rsidRDefault="00D331C1">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331C1" w:rsidRDefault="00F85E67">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D331C1" w:rsidRDefault="00D331C1">
      <w:pPr>
        <w:pBdr>
          <w:top w:val="nil"/>
          <w:left w:val="nil"/>
          <w:bottom w:val="nil"/>
          <w:right w:val="nil"/>
          <w:between w:val="nil"/>
        </w:pBdr>
        <w:spacing w:before="120" w:after="120"/>
        <w:ind w:left="2214" w:hanging="1080"/>
        <w:rPr>
          <w:rFonts w:ascii="Arial" w:eastAsia="Arial" w:hAnsi="Arial"/>
          <w:color w:val="000000"/>
          <w:sz w:val="24"/>
          <w:szCs w:val="24"/>
        </w:rPr>
      </w:pPr>
    </w:p>
    <w:p w:rsidR="00D331C1" w:rsidRDefault="00F85E67">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D331C1" w:rsidRDefault="00F85E67">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331C1" w:rsidRDefault="00F85E67">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D331C1" w:rsidRDefault="00F85E67">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rsidR="00D331C1" w:rsidRDefault="00F85E67">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D331C1" w:rsidRDefault="00F85E67">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D331C1" w:rsidRDefault="00F85E67">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D331C1" w:rsidRDefault="00F85E67">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D331C1" w:rsidRDefault="00F85E67">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D331C1" w:rsidRDefault="00F85E67">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D331C1" w:rsidRDefault="00F85E67">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w:t>
      </w:r>
      <w:r>
        <w:rPr>
          <w:rFonts w:ascii="Arial" w:eastAsia="Arial" w:hAnsi="Arial"/>
          <w:color w:val="000000"/>
          <w:sz w:val="24"/>
          <w:szCs w:val="24"/>
        </w:rPr>
        <w:t xml:space="preserve">ployee representative (as defined in the Employment Regulations) of any Transferring Buyer Employee whether occurring before, on or after the Relevant Transfer Date;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w:t>
      </w:r>
      <w:r>
        <w:rPr>
          <w:rFonts w:ascii="Arial" w:eastAsia="Arial" w:hAnsi="Arial"/>
          <w:color w:val="000000"/>
          <w:sz w:val="24"/>
          <w:szCs w:val="24"/>
        </w:rPr>
        <w:t>t Transfer Date of:</w:t>
      </w:r>
    </w:p>
    <w:p w:rsidR="00D331C1" w:rsidRDefault="00F85E67">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D331C1" w:rsidRDefault="00F85E67">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331C1" w:rsidRDefault="00F85E67">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D331C1" w:rsidRDefault="00F85E67">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ity Employees in respect of the period from (and including) the Relevant Transfer Date;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cept to the extent that the liability arises from the Buyer’s failure to comply with its obligations under regulation 13 of the Employment Regulations; and</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D331C1" w:rsidRDefault="00F85E67">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D331C1" w:rsidRDefault="00F85E67">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D331C1" w:rsidRDefault="00F85E67">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331C1" w:rsidRDefault="00D331C1">
      <w:pPr>
        <w:pBdr>
          <w:top w:val="nil"/>
          <w:left w:val="nil"/>
          <w:bottom w:val="nil"/>
          <w:right w:val="nil"/>
          <w:between w:val="nil"/>
        </w:pBdr>
        <w:spacing w:before="120" w:after="120"/>
        <w:ind w:left="2214" w:hanging="1080"/>
        <w:rPr>
          <w:rFonts w:eastAsia="Calibri" w:cs="Calibri"/>
          <w:color w:val="000000"/>
        </w:rPr>
      </w:pPr>
    </w:p>
    <w:p w:rsidR="00D331C1" w:rsidRDefault="00F85E67">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D331C1" w:rsidRDefault="00F85E67">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D331C1" w:rsidRDefault="00F85E67">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D331C1" w:rsidRDefault="00F85E67">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331C1" w:rsidRDefault="00F85E67">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rsidR="00D331C1" w:rsidRDefault="00F85E67">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D331C1" w:rsidRDefault="00F85E67">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D331C1" w:rsidRDefault="00F85E67">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D331C1" w:rsidRDefault="00F85E67">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w:t>
      </w:r>
      <w:r>
        <w:rPr>
          <w:rFonts w:ascii="Arial" w:eastAsia="Arial" w:hAnsi="Arial"/>
          <w:color w:val="000000"/>
          <w:sz w:val="24"/>
          <w:szCs w:val="24"/>
        </w:rPr>
        <w:t>t Transfer Date;</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D331C1" w:rsidRDefault="00F85E67">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D331C1" w:rsidRDefault="00F85E67">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D331C1" w:rsidRDefault="00F85E67">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D331C1" w:rsidRDefault="00F85E67">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bility arises from the failure by the Supplier or any Subcontractor to comply with regulation 13(4) of the Employment Regulations.</w:t>
      </w:r>
    </w:p>
    <w:p w:rsidR="00D331C1" w:rsidRDefault="00D331C1">
      <w:pPr>
        <w:pBdr>
          <w:top w:val="nil"/>
          <w:left w:val="nil"/>
          <w:bottom w:val="nil"/>
          <w:right w:val="nil"/>
          <w:between w:val="nil"/>
        </w:pBdr>
        <w:spacing w:before="120" w:after="120"/>
        <w:ind w:left="2214" w:hanging="1080"/>
        <w:rPr>
          <w:rFonts w:eastAsia="Calibri" w:cs="Calibri"/>
          <w:color w:val="000000"/>
        </w:rPr>
      </w:pPr>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D331C1" w:rsidRDefault="00F85E67">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rsidR="00D331C1" w:rsidRDefault="00F85E67">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D331C1" w:rsidRDefault="00F85E67">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331C1" w:rsidRDefault="00F85E67">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D331C1" w:rsidRDefault="00F85E67">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rsidR="00D331C1" w:rsidRDefault="00F85E67">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331C1" w:rsidRDefault="00F85E67">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D331C1" w:rsidRDefault="00F85E67">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D331C1" w:rsidRDefault="00F85E67">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D331C1" w:rsidRDefault="00F85E67">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D331C1" w:rsidRDefault="00F85E67">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D331C1" w:rsidRDefault="00F85E67">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w:t>
      </w:r>
      <w:r>
        <w:rPr>
          <w:rFonts w:ascii="Arial" w:eastAsia="Arial" w:hAnsi="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w:t>
      </w:r>
      <w:r>
        <w:rPr>
          <w:rFonts w:ascii="Arial" w:eastAsia="Arial" w:hAnsi="Arial"/>
          <w:color w:val="000000"/>
          <w:sz w:val="24"/>
          <w:szCs w:val="24"/>
        </w:rPr>
        <w:t>r or any Subcontractor on or after the Relevant Transfer Date of:</w:t>
      </w:r>
    </w:p>
    <w:p w:rsidR="00D331C1" w:rsidRDefault="00F85E67">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D331C1" w:rsidRDefault="00F85E67">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D331C1" w:rsidRDefault="00F85E67">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D331C1" w:rsidRDefault="00F85E67">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D331C1" w:rsidRDefault="00D331C1">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D331C1" w:rsidRDefault="00F85E67">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D331C1" w:rsidRDefault="00F85E67">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D331C1" w:rsidRDefault="00F85E67">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331C1" w:rsidRDefault="00F85E67">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D331C1" w:rsidRDefault="00F85E67">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D331C1" w:rsidRDefault="00F85E67">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rsidR="00D331C1" w:rsidRDefault="00F85E67">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D331C1" w:rsidRDefault="00F85E67">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D331C1" w:rsidRDefault="00F85E67">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331C1" w:rsidRDefault="00D331C1">
      <w:pPr>
        <w:rPr>
          <w:rFonts w:ascii="Arial" w:eastAsia="Arial" w:hAnsi="Arial"/>
          <w:sz w:val="24"/>
          <w:szCs w:val="24"/>
        </w:rPr>
      </w:pPr>
    </w:p>
    <w:p w:rsidR="00D331C1" w:rsidRDefault="00D331C1">
      <w:pPr>
        <w:rPr>
          <w:rFonts w:ascii="Arial" w:eastAsia="Arial" w:hAnsi="Arial"/>
          <w:sz w:val="24"/>
          <w:szCs w:val="24"/>
        </w:rPr>
      </w:pPr>
    </w:p>
    <w:p w:rsidR="00D331C1" w:rsidRDefault="00F85E67">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w:t>
      </w:r>
      <w:r>
        <w:rPr>
          <w:rFonts w:ascii="Arial Bold" w:eastAsia="Arial Bold" w:hAnsi="Arial Bold" w:cs="Arial Bold"/>
          <w:sz w:val="36"/>
          <w:szCs w:val="36"/>
        </w:rPr>
        <w:t xml:space="preserve"> No Staff Transfer on the Start Date</w:t>
      </w:r>
    </w:p>
    <w:p w:rsidR="00D331C1" w:rsidRDefault="00F85E67">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D331C1" w:rsidRDefault="00F85E67">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D331C1" w:rsidRDefault="00F85E67">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D331C1" w:rsidRDefault="00F85E67">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D331C1" w:rsidRDefault="00F85E67">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331C1" w:rsidRDefault="00F85E67">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D331C1" w:rsidRDefault="00D331C1">
      <w:pPr>
        <w:pBdr>
          <w:top w:val="nil"/>
          <w:left w:val="nil"/>
          <w:bottom w:val="nil"/>
          <w:right w:val="nil"/>
          <w:between w:val="nil"/>
        </w:pBdr>
        <w:spacing w:before="120" w:after="120"/>
        <w:ind w:left="1134" w:hanging="1080"/>
        <w:rPr>
          <w:rFonts w:ascii="Arial" w:eastAsia="Arial" w:hAnsi="Arial"/>
          <w:color w:val="000000"/>
          <w:sz w:val="24"/>
          <w:szCs w:val="24"/>
        </w:rPr>
      </w:pPr>
    </w:p>
    <w:p w:rsidR="00D331C1" w:rsidRDefault="00F85E67">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D331C1" w:rsidRDefault="00F85E67">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D331C1" w:rsidRDefault="00F85E67">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D331C1" w:rsidRDefault="00D331C1">
      <w:pPr>
        <w:keepNext/>
        <w:pBdr>
          <w:top w:val="nil"/>
          <w:left w:val="nil"/>
          <w:bottom w:val="nil"/>
          <w:right w:val="nil"/>
          <w:between w:val="nil"/>
        </w:pBdr>
        <w:tabs>
          <w:tab w:val="left" w:pos="993"/>
        </w:tabs>
        <w:spacing w:before="120" w:after="120"/>
        <w:ind w:left="720" w:hanging="720"/>
        <w:rPr>
          <w:rFonts w:eastAsia="Calibri" w:cs="Calibri"/>
          <w:color w:val="000000"/>
        </w:rPr>
      </w:pPr>
    </w:p>
    <w:p w:rsidR="00D331C1" w:rsidRDefault="00F85E67">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331C1" w:rsidRDefault="00F85E67">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D331C1" w:rsidRDefault="00F85E67">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D331C1" w:rsidRDefault="00F85E67">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D331C1" w:rsidRDefault="00F85E67">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D331C1" w:rsidRDefault="00F85E67">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D331C1" w:rsidRDefault="00F85E67">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D331C1" w:rsidRDefault="00F85E67">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D331C1" w:rsidRDefault="00F85E67">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D331C1" w:rsidRDefault="00F85E67">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D331C1" w:rsidRDefault="00F85E67">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D331C1" w:rsidRDefault="00F85E67">
      <w:pPr>
        <w:rPr>
          <w:rFonts w:ascii="Arial" w:eastAsia="Arial" w:hAnsi="Arial"/>
        </w:rPr>
      </w:pPr>
      <w:r>
        <w:rPr>
          <w:rFonts w:ascii="Arial" w:eastAsia="Arial" w:hAnsi="Arial"/>
          <w:b/>
          <w:sz w:val="24"/>
          <w:szCs w:val="24"/>
          <w:highlight w:val="yellow"/>
        </w:rPr>
        <w:t xml:space="preserve">[Guidance: </w:t>
      </w:r>
      <w:r>
        <w:rPr>
          <w:rFonts w:ascii="Arial" w:eastAsia="Arial" w:hAnsi="Arial"/>
          <w:b/>
          <w:sz w:val="24"/>
          <w:szCs w:val="24"/>
          <w:highlight w:val="yellow"/>
        </w:rPr>
        <w:t xml:space="preserve">You should take specific legal advice on this Part D. Please also note that this Part D is drafted to reflect the requirements of New Fair Deal. Accordingly, where a contracting authority is a best value authority it will be subject to the requirements of </w:t>
      </w:r>
      <w:r>
        <w:rPr>
          <w:rFonts w:ascii="Arial" w:eastAsia="Arial" w:hAnsi="Arial"/>
          <w:b/>
          <w:sz w:val="24"/>
          <w:szCs w:val="24"/>
          <w:highlight w:val="yellow"/>
        </w:rPr>
        <w:t>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D331C1" w:rsidRDefault="00F85E67">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331C1" w:rsidRDefault="00F85E67">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Ind w:w="-115" w:type="dxa"/>
        <w:tblLayout w:type="fixed"/>
        <w:tblLook w:val="0400" w:firstRow="0" w:lastRow="0" w:firstColumn="0" w:lastColumn="0" w:noHBand="0" w:noVBand="1"/>
      </w:tblPr>
      <w:tblGrid>
        <w:gridCol w:w="3404"/>
        <w:gridCol w:w="5622"/>
      </w:tblGrid>
      <w:tr w:rsidR="00D331C1">
        <w:tc>
          <w:tcPr>
            <w:tcW w:w="3404" w:type="dxa"/>
            <w:shd w:val="clear" w:color="auto" w:fill="auto"/>
          </w:tcPr>
          <w:p w:rsidR="00D331C1" w:rsidRDefault="00F85E67">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w:t>
            </w:r>
            <w:r>
              <w:rPr>
                <w:rFonts w:ascii="Arial" w:eastAsia="Arial" w:hAnsi="Arial"/>
                <w:color w:val="000000"/>
                <w:sz w:val="24"/>
                <w:szCs w:val="24"/>
              </w:rPr>
              <w:t xml:space="preserve"> Institute and Faculty of Actuaries;</w:t>
            </w:r>
          </w:p>
        </w:tc>
      </w:tr>
      <w:tr w:rsidR="00D331C1">
        <w:tc>
          <w:tcPr>
            <w:tcW w:w="3404" w:type="dxa"/>
            <w:shd w:val="clear" w:color="auto" w:fill="auto"/>
          </w:tcPr>
          <w:p w:rsidR="00D331C1" w:rsidRDefault="00F85E67">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D331C1" w:rsidRDefault="00F85E67">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D331C1">
        <w:tc>
          <w:tcPr>
            <w:tcW w:w="3404" w:type="dxa"/>
            <w:shd w:val="clear" w:color="auto" w:fill="auto"/>
          </w:tcPr>
          <w:p w:rsidR="00D331C1" w:rsidRDefault="00F85E67">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D331C1" w:rsidRDefault="00F85E67">
            <w:pPr>
              <w:widowControl w:val="0"/>
              <w:spacing w:after="0"/>
              <w:rPr>
                <w:rFonts w:ascii="Arial" w:eastAsia="Arial" w:hAnsi="Arial"/>
                <w:sz w:val="24"/>
                <w:szCs w:val="24"/>
              </w:rPr>
            </w:pPr>
            <w:r>
              <w:rPr>
                <w:rFonts w:ascii="Arial" w:eastAsia="Arial" w:hAnsi="Arial"/>
                <w:sz w:val="24"/>
                <w:szCs w:val="24"/>
              </w:rPr>
              <w:t>the B</w:t>
            </w:r>
            <w:r>
              <w:rPr>
                <w:rFonts w:ascii="Arial" w:eastAsia="Arial" w:hAnsi="Arial"/>
                <w:sz w:val="24"/>
                <w:szCs w:val="24"/>
              </w:rPr>
              <w:t>est Value Authorities Staff Transfers (Pensions) Direction 2007 or the Welsh Authorities Staff Transfers (Pensions) Direction 2012 (as appropriate);</w:t>
            </w:r>
          </w:p>
          <w:p w:rsidR="00D331C1" w:rsidRDefault="00D331C1">
            <w:pPr>
              <w:tabs>
                <w:tab w:val="left" w:pos="235"/>
              </w:tabs>
              <w:spacing w:before="120" w:after="120"/>
              <w:rPr>
                <w:rFonts w:ascii="Arial" w:eastAsia="Arial" w:hAnsi="Arial"/>
                <w:sz w:val="24"/>
                <w:szCs w:val="24"/>
              </w:rPr>
            </w:pP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D331C1" w:rsidRDefault="00F85E67">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D331C1">
        <w:tc>
          <w:tcPr>
            <w:tcW w:w="3404" w:type="dxa"/>
            <w:shd w:val="clear" w:color="auto" w:fill="auto"/>
          </w:tcPr>
          <w:p w:rsidR="00D331C1" w:rsidRDefault="00D331C1">
            <w:pPr>
              <w:widowControl w:val="0"/>
              <w:spacing w:before="120" w:after="120"/>
              <w:ind w:left="720"/>
              <w:rPr>
                <w:rFonts w:ascii="Arial" w:eastAsia="Arial" w:hAnsi="Arial"/>
                <w:b/>
                <w:sz w:val="24"/>
                <w:szCs w:val="24"/>
              </w:rPr>
            </w:pPr>
          </w:p>
        </w:tc>
        <w:tc>
          <w:tcPr>
            <w:tcW w:w="5622" w:type="dxa"/>
            <w:shd w:val="clear" w:color="auto" w:fill="auto"/>
          </w:tcPr>
          <w:p w:rsidR="00D331C1" w:rsidRDefault="00F85E67">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rsidR="00D331C1" w:rsidRDefault="00F85E67">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D331C1" w:rsidRDefault="00F85E67">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D331C1" w:rsidRDefault="00F85E67">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D331C1" w:rsidRDefault="00D331C1">
            <w:pPr>
              <w:widowControl w:val="0"/>
              <w:spacing w:before="120" w:after="120"/>
              <w:rPr>
                <w:rFonts w:ascii="Arial" w:eastAsia="Arial" w:hAnsi="Arial"/>
                <w:sz w:val="24"/>
                <w:szCs w:val="24"/>
              </w:rPr>
            </w:pP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D331C1" w:rsidRDefault="00F85E67">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w:t>
            </w:r>
            <w:r>
              <w:rPr>
                <w:rFonts w:ascii="Arial" w:eastAsia="Arial" w:hAnsi="Arial"/>
                <w:sz w:val="24"/>
                <w:szCs w:val="24"/>
              </w:rPr>
              <w:t>o and/or remains eligible to join a Broadly Comparable pension scheme at the relevant time in accordance with paragraph 10 or 11 of this Part D);</w:t>
            </w:r>
          </w:p>
          <w:p w:rsidR="00D331C1" w:rsidRDefault="00D331C1">
            <w:pPr>
              <w:widowControl w:val="0"/>
              <w:spacing w:before="120" w:after="120"/>
              <w:rPr>
                <w:rFonts w:ascii="Arial" w:eastAsia="Arial" w:hAnsi="Arial"/>
                <w:sz w:val="24"/>
                <w:szCs w:val="24"/>
              </w:rPr>
            </w:pP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D331C1" w:rsidRDefault="00F85E67">
            <w:pPr>
              <w:widowControl w:val="0"/>
              <w:spacing w:before="120" w:after="120"/>
              <w:rPr>
                <w:rFonts w:ascii="Arial" w:eastAsia="Arial" w:hAnsi="Arial"/>
                <w:sz w:val="24"/>
                <w:szCs w:val="24"/>
              </w:rPr>
            </w:pPr>
            <w:r>
              <w:rPr>
                <w:rFonts w:ascii="Arial" w:eastAsia="Arial" w:hAnsi="Arial"/>
                <w:sz w:val="24"/>
                <w:szCs w:val="24"/>
              </w:rPr>
              <w:t>any of:</w:t>
            </w:r>
          </w:p>
          <w:p w:rsidR="00D331C1" w:rsidRDefault="00F85E67">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D331C1">
        <w:tc>
          <w:tcPr>
            <w:tcW w:w="3404" w:type="dxa"/>
            <w:shd w:val="clear" w:color="auto" w:fill="auto"/>
          </w:tcPr>
          <w:p w:rsidR="00D331C1" w:rsidRDefault="00D331C1">
            <w:pPr>
              <w:widowControl w:val="0"/>
              <w:spacing w:before="120" w:after="120"/>
              <w:ind w:left="720"/>
              <w:rPr>
                <w:rFonts w:ascii="Arial" w:eastAsia="Arial" w:hAnsi="Arial"/>
                <w:b/>
                <w:sz w:val="24"/>
                <w:szCs w:val="24"/>
              </w:rPr>
            </w:pPr>
          </w:p>
        </w:tc>
        <w:tc>
          <w:tcPr>
            <w:tcW w:w="5622" w:type="dxa"/>
            <w:shd w:val="clear" w:color="auto" w:fill="auto"/>
          </w:tcPr>
          <w:p w:rsidR="00D331C1" w:rsidRDefault="00F85E67">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D331C1">
        <w:tc>
          <w:tcPr>
            <w:tcW w:w="3404" w:type="dxa"/>
            <w:shd w:val="clear" w:color="auto" w:fill="auto"/>
          </w:tcPr>
          <w:p w:rsidR="00D331C1" w:rsidRDefault="00D331C1">
            <w:pPr>
              <w:widowControl w:val="0"/>
              <w:spacing w:before="120" w:after="120"/>
              <w:ind w:left="720"/>
              <w:rPr>
                <w:rFonts w:ascii="Arial" w:eastAsia="Arial" w:hAnsi="Arial"/>
                <w:b/>
                <w:sz w:val="24"/>
                <w:szCs w:val="24"/>
              </w:rPr>
            </w:pPr>
          </w:p>
        </w:tc>
        <w:tc>
          <w:tcPr>
            <w:tcW w:w="5622" w:type="dxa"/>
            <w:shd w:val="clear" w:color="auto" w:fill="auto"/>
          </w:tcPr>
          <w:p w:rsidR="00D331C1" w:rsidRDefault="00F85E67">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D331C1">
        <w:tc>
          <w:tcPr>
            <w:tcW w:w="3404" w:type="dxa"/>
            <w:shd w:val="clear" w:color="auto" w:fill="auto"/>
          </w:tcPr>
          <w:p w:rsidR="00D331C1" w:rsidRDefault="00D331C1">
            <w:pPr>
              <w:keepNext/>
              <w:widowControl w:val="0"/>
              <w:spacing w:before="120" w:after="120"/>
              <w:ind w:left="720"/>
              <w:rPr>
                <w:rFonts w:ascii="Arial" w:eastAsia="Arial" w:hAnsi="Arial"/>
                <w:b/>
                <w:sz w:val="24"/>
                <w:szCs w:val="24"/>
              </w:rPr>
            </w:pPr>
          </w:p>
        </w:tc>
        <w:tc>
          <w:tcPr>
            <w:tcW w:w="5622" w:type="dxa"/>
            <w:shd w:val="clear" w:color="auto" w:fill="auto"/>
          </w:tcPr>
          <w:p w:rsidR="00D331C1" w:rsidRDefault="00F85E67">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D331C1">
        <w:tc>
          <w:tcPr>
            <w:tcW w:w="3404" w:type="dxa"/>
            <w:shd w:val="clear" w:color="auto" w:fill="auto"/>
          </w:tcPr>
          <w:p w:rsidR="00D331C1" w:rsidRDefault="00D331C1">
            <w:pPr>
              <w:widowControl w:val="0"/>
              <w:spacing w:before="120" w:after="120"/>
              <w:ind w:left="720"/>
              <w:rPr>
                <w:rFonts w:ascii="Arial" w:eastAsia="Arial" w:hAnsi="Arial"/>
                <w:b/>
                <w:sz w:val="24"/>
                <w:szCs w:val="24"/>
              </w:rPr>
            </w:pPr>
          </w:p>
        </w:tc>
        <w:tc>
          <w:tcPr>
            <w:tcW w:w="5622" w:type="dxa"/>
            <w:shd w:val="clear" w:color="auto" w:fill="auto"/>
          </w:tcPr>
          <w:p w:rsidR="00D331C1" w:rsidRDefault="00F85E67">
            <w:pPr>
              <w:widowControl w:val="0"/>
              <w:spacing w:before="120" w:after="120"/>
              <w:rPr>
                <w:rFonts w:ascii="Arial" w:eastAsia="Arial" w:hAnsi="Arial"/>
                <w:sz w:val="24"/>
                <w:szCs w:val="24"/>
              </w:rPr>
            </w:pPr>
            <w:r>
              <w:rPr>
                <w:rFonts w:ascii="Arial" w:eastAsia="Arial" w:hAnsi="Arial"/>
                <w:sz w:val="24"/>
                <w:szCs w:val="24"/>
              </w:rPr>
              <w:t>who at the Relevant Trans</w:t>
            </w:r>
            <w:r>
              <w:rPr>
                <w:rFonts w:ascii="Arial" w:eastAsia="Arial" w:hAnsi="Arial"/>
                <w:sz w:val="24"/>
                <w:szCs w:val="24"/>
              </w:rPr>
              <w:t>fer Date  are or become entitled to New Fair Deal or Best Value Direction protection in respect of any of the Statutory Schemes or a Broadly Comparable pension scheme provided in accordance with paragraph 10 of this Part D as notified by the Buyer;</w:t>
            </w:r>
          </w:p>
        </w:tc>
      </w:tr>
      <w:tr w:rsidR="00D331C1">
        <w:tc>
          <w:tcPr>
            <w:tcW w:w="3404" w:type="dxa"/>
            <w:shd w:val="clear" w:color="auto" w:fill="auto"/>
          </w:tcPr>
          <w:p w:rsidR="00D331C1" w:rsidRDefault="00D331C1">
            <w:pPr>
              <w:widowControl w:val="0"/>
              <w:spacing w:before="120" w:after="120"/>
              <w:ind w:left="720"/>
              <w:rPr>
                <w:rFonts w:ascii="Arial" w:eastAsia="Arial" w:hAnsi="Arial"/>
                <w:b/>
                <w:sz w:val="24"/>
                <w:szCs w:val="24"/>
              </w:rPr>
            </w:pPr>
          </w:p>
        </w:tc>
        <w:tc>
          <w:tcPr>
            <w:tcW w:w="5622" w:type="dxa"/>
            <w:shd w:val="clear" w:color="auto" w:fill="auto"/>
          </w:tcPr>
          <w:p w:rsidR="00D331C1" w:rsidRDefault="00D331C1">
            <w:pPr>
              <w:widowControl w:val="0"/>
              <w:spacing w:before="120" w:after="120"/>
              <w:rPr>
                <w:rFonts w:ascii="Arial" w:eastAsia="Arial" w:hAnsi="Arial"/>
                <w:sz w:val="24"/>
                <w:szCs w:val="24"/>
              </w:rPr>
            </w:pP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D331C1" w:rsidRDefault="00F85E67">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D331C1" w:rsidRDefault="00F85E67">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D331C1" w:rsidRDefault="00F85E67">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D331C1">
        <w:tc>
          <w:tcPr>
            <w:tcW w:w="3404" w:type="dxa"/>
            <w:shd w:val="clear" w:color="auto" w:fill="auto"/>
          </w:tcPr>
          <w:p w:rsidR="00D331C1" w:rsidRDefault="00D331C1">
            <w:pPr>
              <w:widowControl w:val="0"/>
              <w:spacing w:before="120" w:after="120"/>
              <w:ind w:left="720"/>
              <w:rPr>
                <w:rFonts w:ascii="Arial" w:eastAsia="Arial" w:hAnsi="Arial"/>
                <w:b/>
                <w:sz w:val="24"/>
                <w:szCs w:val="24"/>
              </w:rPr>
            </w:pPr>
          </w:p>
        </w:tc>
        <w:tc>
          <w:tcPr>
            <w:tcW w:w="5622" w:type="dxa"/>
            <w:shd w:val="clear" w:color="auto" w:fill="auto"/>
          </w:tcPr>
          <w:p w:rsidR="00D331C1" w:rsidRDefault="00D331C1">
            <w:pPr>
              <w:widowControl w:val="0"/>
              <w:numPr>
                <w:ilvl w:val="0"/>
                <w:numId w:val="14"/>
              </w:numPr>
              <w:tabs>
                <w:tab w:val="left" w:pos="695"/>
              </w:tabs>
              <w:spacing w:before="120" w:after="120"/>
              <w:ind w:left="743" w:hanging="709"/>
              <w:rPr>
                <w:rFonts w:ascii="Arial" w:eastAsia="Arial" w:hAnsi="Arial"/>
                <w:sz w:val="24"/>
                <w:szCs w:val="24"/>
              </w:rPr>
            </w:pPr>
          </w:p>
        </w:tc>
      </w:tr>
      <w:tr w:rsidR="00D331C1">
        <w:tc>
          <w:tcPr>
            <w:tcW w:w="3404" w:type="dxa"/>
            <w:shd w:val="clear" w:color="auto" w:fill="auto"/>
          </w:tcPr>
          <w:p w:rsidR="00D331C1" w:rsidRDefault="00D331C1">
            <w:pPr>
              <w:widowControl w:val="0"/>
              <w:spacing w:before="120" w:after="120"/>
              <w:ind w:left="720"/>
              <w:rPr>
                <w:rFonts w:ascii="Arial" w:eastAsia="Arial" w:hAnsi="Arial"/>
                <w:b/>
                <w:sz w:val="24"/>
                <w:szCs w:val="24"/>
              </w:rPr>
            </w:pPr>
          </w:p>
        </w:tc>
        <w:tc>
          <w:tcPr>
            <w:tcW w:w="5622" w:type="dxa"/>
            <w:shd w:val="clear" w:color="auto" w:fill="auto"/>
          </w:tcPr>
          <w:p w:rsidR="00D331C1" w:rsidRDefault="00D331C1">
            <w:pPr>
              <w:widowControl w:val="0"/>
              <w:numPr>
                <w:ilvl w:val="0"/>
                <w:numId w:val="14"/>
              </w:numPr>
              <w:tabs>
                <w:tab w:val="left" w:pos="695"/>
              </w:tabs>
              <w:spacing w:before="120" w:after="120"/>
              <w:ind w:left="695" w:hanging="646"/>
              <w:rPr>
                <w:rFonts w:ascii="Arial" w:eastAsia="Arial" w:hAnsi="Arial"/>
                <w:sz w:val="24"/>
                <w:szCs w:val="24"/>
              </w:rPr>
            </w:pPr>
          </w:p>
        </w:tc>
      </w:tr>
      <w:tr w:rsidR="00D331C1">
        <w:tc>
          <w:tcPr>
            <w:tcW w:w="3404" w:type="dxa"/>
            <w:shd w:val="clear" w:color="auto" w:fill="auto"/>
          </w:tcPr>
          <w:p w:rsidR="00D331C1" w:rsidRDefault="00F85E67">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D331C1" w:rsidRDefault="00F85E67">
            <w:pPr>
              <w:spacing w:before="120" w:after="120"/>
              <w:rPr>
                <w:rFonts w:ascii="Arial" w:eastAsia="Arial" w:hAnsi="Arial"/>
                <w:sz w:val="24"/>
                <w:szCs w:val="24"/>
              </w:rPr>
            </w:pPr>
            <w:r>
              <w:rPr>
                <w:rFonts w:ascii="Arial" w:eastAsia="Arial" w:hAnsi="Arial"/>
                <w:sz w:val="24"/>
                <w:szCs w:val="24"/>
              </w:rPr>
              <w:t>means the CSPS, NHSPS or LGPS.</w:t>
            </w:r>
          </w:p>
        </w:tc>
      </w:tr>
    </w:tbl>
    <w:p w:rsidR="00D331C1" w:rsidRDefault="00F85E67">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D331C1" w:rsidRDefault="00F85E6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D331C1" w:rsidRDefault="00F85E6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w:t>
      </w:r>
      <w:r>
        <w:rPr>
          <w:rFonts w:ascii="Arial" w:eastAsia="Arial" w:hAnsi="Arial"/>
          <w:color w:val="000000"/>
          <w:sz w:val="24"/>
          <w:szCs w:val="24"/>
        </w:rPr>
        <w:t>otherwise and shall deduct and pay to the Statutory Schemes such employee contributions as are required; and</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w:t>
      </w:r>
      <w:r>
        <w:rPr>
          <w:rFonts w:ascii="Arial" w:eastAsia="Arial" w:hAnsi="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D331C1" w:rsidRDefault="00F85E6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w:t>
      </w:r>
      <w:r>
        <w:rPr>
          <w:rFonts w:ascii="Arial" w:eastAsia="Arial" w:hAnsi="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olor w:val="000000"/>
          <w:sz w:val="24"/>
          <w:szCs w:val="24"/>
        </w:rPr>
        <w:t xml:space="preserve">llowing appropriate consultation and contractual changes as appropriate) if later. The Supplier (or Sub- contractor) shall make arrangements for a bulk transfer from its Broadly Comparable pension scheme to the relevant Statutory Scheme in accordance with </w:t>
      </w:r>
      <w:r>
        <w:rPr>
          <w:rFonts w:ascii="Arial" w:eastAsia="Arial" w:hAnsi="Arial"/>
          <w:color w:val="000000"/>
          <w:sz w:val="24"/>
          <w:szCs w:val="24"/>
        </w:rPr>
        <w:t>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D331C1" w:rsidRDefault="00F85E67">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rsidR="00D331C1" w:rsidRDefault="00F85E67">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D331C1" w:rsidRDefault="00F85E6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D331C1" w:rsidRDefault="00F85E6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rsidR="00D331C1" w:rsidRDefault="00F85E67">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D331C1" w:rsidRDefault="00F85E67">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lastRenderedPageBreak/>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allowing anyone who is not an NHSPS Fair Deal  Employee to join or claim membership of the NHSPS at any time during the Term.</w:t>
      </w:r>
    </w:p>
    <w:p w:rsidR="00D331C1" w:rsidRDefault="00D331C1">
      <w:pPr>
        <w:pBdr>
          <w:top w:val="nil"/>
          <w:left w:val="nil"/>
          <w:bottom w:val="nil"/>
          <w:right w:val="nil"/>
          <w:between w:val="nil"/>
        </w:pBdr>
        <w:spacing w:before="120" w:after="120"/>
        <w:ind w:left="2214" w:hanging="1080"/>
        <w:rPr>
          <w:rFonts w:eastAsia="Calibri" w:cs="Calibri"/>
          <w:color w:val="000000"/>
        </w:rPr>
      </w:pP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D331C1" w:rsidRDefault="00F85E67">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D331C1" w:rsidRDefault="00F85E6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D331C1" w:rsidRDefault="00F85E67">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D331C1" w:rsidRDefault="00F85E6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Supplier under this Part D, in his or her or its own right under section 1(1) of the CRTPA. </w:t>
      </w:r>
    </w:p>
    <w:p w:rsidR="00D331C1" w:rsidRDefault="00F85E6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w:t>
      </w:r>
      <w:r>
        <w:rPr>
          <w:rFonts w:ascii="Arial" w:eastAsia="Arial" w:hAnsi="Arial"/>
          <w:color w:val="000000"/>
          <w:sz w:val="24"/>
          <w:szCs w:val="24"/>
        </w:rPr>
        <w:t>l Employee will have the right to enforce any obligation owed to them by the Subcontractor in his or her or its own right under section 1(1) of the CRTPA.</w:t>
      </w:r>
    </w:p>
    <w:p w:rsidR="00D331C1" w:rsidRDefault="00F85E67">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D331C1" w:rsidRDefault="00F85E67">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rsidR="00D331C1" w:rsidRDefault="00F85E67">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rsidR="00D331C1" w:rsidRDefault="00D331C1">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331C1" w:rsidRDefault="00F85E67">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w:t>
      </w:r>
      <w:r>
        <w:rPr>
          <w:rFonts w:ascii="Arial" w:eastAsia="Arial" w:hAnsi="Arial"/>
          <w:color w:val="000000"/>
          <w:sz w:val="24"/>
          <w:szCs w:val="24"/>
        </w:rPr>
        <w:t xml:space="preserve">and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w:t>
      </w:r>
      <w:r>
        <w:rPr>
          <w:rFonts w:ascii="Arial" w:eastAsia="Arial" w:hAnsi="Arial"/>
          <w:color w:val="000000"/>
          <w:sz w:val="24"/>
          <w:szCs w:val="24"/>
        </w:rPr>
        <w:t xml:space="preserve"> any debts arising under section 75 or 75A of the Pensions Act 1995;</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roadly Comparable pension scheme or the Actuary to the relevant Statutory Scheme  (as appropriate) and to provide all such co-operation and assistance with any other Actuary appointed by the Buyer (where applicable). This will be with a view to the bulk tr</w:t>
      </w:r>
      <w:r>
        <w:rPr>
          <w:rFonts w:ascii="Arial" w:eastAsia="Arial" w:hAnsi="Arial"/>
          <w:color w:val="000000"/>
          <w:sz w:val="24"/>
          <w:szCs w:val="24"/>
        </w:rPr>
        <w:t>ansfer terms providing day for day and/or pound for pound (as applicable) (or actuarially equivalent where there 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w:t>
      </w:r>
      <w:r>
        <w:rPr>
          <w:rFonts w:ascii="Arial" w:eastAsia="Arial" w:hAnsi="Arial"/>
          <w:color w:val="000000"/>
          <w:sz w:val="24"/>
          <w:szCs w:val="24"/>
        </w:rPr>
        <w:t>actor and are still eligible for New Fair Deal protection in the event that the Supplier and/or Subcontractor's Broadly Comparable pension scheme is terminated. The relevant Fair Deal Eligible Employees must be given the option to transfer their accrued be</w:t>
      </w:r>
      <w:r>
        <w:rPr>
          <w:rFonts w:ascii="Arial" w:eastAsia="Arial" w:hAnsi="Arial"/>
          <w:color w:val="000000"/>
          <w:sz w:val="24"/>
          <w:szCs w:val="24"/>
        </w:rPr>
        <w:t xml:space="preserve">nefits from the previous Broadly Comparable pension scheme to the new Broadly Comparable pension scheme on day for day and/or pound for pound terms (as applicable) (or actuarially equivalent where there are benefit differences between the two schemes). </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provided a Broadly Comparable pension scheme pursuant to the provisions of this paragraph 10, the Supplier shall (and shall procure that any of its Subcontractors shall) prior to the termination of the relevant Contract:</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w:t>
      </w:r>
      <w:r>
        <w:rPr>
          <w:rFonts w:ascii="Arial" w:eastAsia="Arial" w:hAnsi="Arial"/>
          <w:color w:val="000000"/>
          <w:sz w:val="24"/>
          <w:szCs w:val="24"/>
        </w:rPr>
        <w:t xml:space="preserve"> all necessary arrangements to effect, in respect of any Fair Deal Eligible Employee that remains eligible for New Fair Deal protection, following a Service Transfer, the bulk transfer of past service from any such Broadly Comparable pension scheme into th</w:t>
      </w:r>
      <w:r>
        <w:rPr>
          <w:rFonts w:ascii="Arial" w:eastAsia="Arial" w:hAnsi="Arial"/>
          <w:color w:val="000000"/>
          <w:sz w:val="24"/>
          <w:szCs w:val="24"/>
        </w:rPr>
        <w:t>e Replacement Supplier’s Broadly Comparable pension scheme  (or the relevant Statutory Scheme if applicable). The bulk transfer terms provided shall be on a past service reserve basis which should be calculated allowing for projected final salary at the as</w:t>
      </w:r>
      <w:r>
        <w:rPr>
          <w:rFonts w:ascii="Arial" w:eastAsia="Arial" w:hAnsi="Arial"/>
          <w:color w:val="000000"/>
          <w:sz w:val="24"/>
          <w:szCs w:val="24"/>
        </w:rPr>
        <w:t>sumed date of retirement, leaving service or death (in the case of final salary benefits). The actuarial basis for this past service reserve basis should be aligned to the funding requirements of the Broadly Comparable pension scheme in place at the time t</w:t>
      </w:r>
      <w:r>
        <w:rPr>
          <w:rFonts w:ascii="Arial" w:eastAsia="Arial" w:hAnsi="Arial"/>
          <w:color w:val="000000"/>
          <w:sz w:val="24"/>
          <w:szCs w:val="24"/>
        </w:rPr>
        <w:t xml:space="preserve">he bulk transfer terms are offered. The bulk transfer terms shall be subject to an underpin </w:t>
      </w:r>
      <w:r>
        <w:rPr>
          <w:rFonts w:ascii="Arial" w:eastAsia="Arial" w:hAnsi="Arial"/>
          <w:color w:val="000000"/>
          <w:sz w:val="24"/>
          <w:szCs w:val="24"/>
        </w:rPr>
        <w:lastRenderedPageBreak/>
        <w:t>in relation to any service credits awarded in the Broadly Comparable pension scheme in accordance with paragraph 10.3.3 such that the element of the past service re</w:t>
      </w:r>
      <w:r>
        <w:rPr>
          <w:rFonts w:ascii="Arial" w:eastAsia="Arial" w:hAnsi="Arial"/>
          <w:color w:val="000000"/>
          <w:sz w:val="24"/>
          <w:szCs w:val="24"/>
        </w:rPr>
        <w:t>serve amount which relates to such service credits shall be no lower than that required by the bulk transfer terms that were agreed in accordance with paragraph 10.3.3 but using the last day of the Fair Deal Eligible Employees’ employment with the Supplier</w:t>
      </w:r>
      <w:r>
        <w:rPr>
          <w:rFonts w:ascii="Arial" w:eastAsia="Arial" w:hAnsi="Arial"/>
          <w:color w:val="000000"/>
          <w:sz w:val="24"/>
          <w:szCs w:val="24"/>
        </w:rPr>
        <w:t xml:space="preserve"> or Subcontractor (as appropriate) as the date used to determine the actuarial assumptions; and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w:t>
      </w:r>
      <w:r>
        <w:rPr>
          <w:rFonts w:ascii="Arial" w:eastAsia="Arial" w:hAnsi="Arial"/>
          <w:color w:val="000000"/>
          <w:sz w:val="24"/>
          <w:szCs w:val="24"/>
        </w:rPr>
        <w:t>dly Comparable pension scheme (or to the relevant Statutory Scheme if applicable)) than the transfer payment which would have been paid had paragraph 10.4.1 been complied with, the Supplier shall (or shall procure that the Subcontractor shall) pay the amou</w:t>
      </w:r>
      <w:r>
        <w:rPr>
          <w:rFonts w:ascii="Arial" w:eastAsia="Arial" w:hAnsi="Arial"/>
          <w:color w:val="000000"/>
          <w:sz w:val="24"/>
          <w:szCs w:val="24"/>
        </w:rPr>
        <w:t>nt of the difference to the Replacement Supplier’s Broadly Comparable pension scheme (or relevant Statutory Scheme if applicable) or as the Buyer shall otherwise direct. The Supplier shall indemnify the Buyer or the Replacement Supplier’s Broadly Comparabl</w:t>
      </w:r>
      <w:r>
        <w:rPr>
          <w:rFonts w:ascii="Arial" w:eastAsia="Arial" w:hAnsi="Arial"/>
          <w:color w:val="000000"/>
          <w:sz w:val="24"/>
          <w:szCs w:val="24"/>
        </w:rPr>
        <w:t>e pension scheme (or the relevant Statutory Scheme if applicable) (as the Buyer directs) for any failure to pay the difference as required under this paragraph.</w:t>
      </w:r>
    </w:p>
    <w:p w:rsidR="00D331C1" w:rsidRDefault="00D331C1">
      <w:pPr>
        <w:pBdr>
          <w:top w:val="nil"/>
          <w:left w:val="nil"/>
          <w:bottom w:val="nil"/>
          <w:right w:val="nil"/>
          <w:between w:val="nil"/>
        </w:pBdr>
        <w:tabs>
          <w:tab w:val="left" w:pos="993"/>
        </w:tabs>
        <w:spacing w:before="120" w:after="120"/>
        <w:ind w:left="720" w:hanging="720"/>
        <w:rPr>
          <w:rFonts w:eastAsia="Calibri" w:cs="Calibri"/>
          <w:color w:val="000000"/>
        </w:rPr>
      </w:pPr>
    </w:p>
    <w:p w:rsidR="00D331C1" w:rsidRDefault="00F85E67">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w:t>
      </w:r>
      <w:r>
        <w:rPr>
          <w:rFonts w:ascii="Arial" w:eastAsia="Arial" w:hAnsi="Arial"/>
          <w:color w:val="000000"/>
          <w:sz w:val="24"/>
          <w:szCs w:val="24"/>
        </w:rPr>
        <w:t xml:space="preserve">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w:t>
      </w:r>
      <w:r>
        <w:rPr>
          <w:rFonts w:ascii="Arial" w:eastAsia="Arial" w:hAnsi="Arial"/>
          <w:color w:val="000000"/>
          <w:sz w:val="24"/>
          <w:szCs w:val="24"/>
        </w:rPr>
        <w:t xml:space="preserve">from the previous Broadly Comparable pension scheme to the new Broadly Comparable pension scheme on day for day and/or pound for pound terms (as applicable) (or actuarially equivalent where there are benefit differences between the two schemes). </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w:t>
      </w:r>
      <w:r>
        <w:rPr>
          <w:rFonts w:ascii="Arial" w:eastAsia="Arial" w:hAnsi="Arial"/>
          <w:color w:val="000000"/>
          <w:sz w:val="24"/>
          <w:szCs w:val="24"/>
        </w:rPr>
        <w:t xml:space="preserve"> Supplier has provided a Broadly Comparable pension scheme pursuant to the provisions of this paragraph 11, the Supplier shall (and shall procure that any of its Subcontractors shall) prior to the termination of the relevant Contract allow and make all nec</w:t>
      </w:r>
      <w:r>
        <w:rPr>
          <w:rFonts w:ascii="Arial" w:eastAsia="Arial" w:hAnsi="Arial"/>
          <w:color w:val="000000"/>
          <w:sz w:val="24"/>
          <w:szCs w:val="24"/>
        </w:rPr>
        <w:t>essary arrangements to effect, in respect of any Fair Deal Eligible Employee that remains eligible for New Fair Deal protection, following a Service Transfer, the bulk transfer of past service from any such Broadly Comparable pension scheme into the Replac</w:t>
      </w:r>
      <w:r>
        <w:rPr>
          <w:rFonts w:ascii="Arial" w:eastAsia="Arial" w:hAnsi="Arial"/>
          <w:color w:val="000000"/>
          <w:sz w:val="24"/>
          <w:szCs w:val="24"/>
        </w:rPr>
        <w:t>ement Supplier’s Broadly Comparable pension scheme (or relevant Statutory Scheme if applicable). The bulk transfer terms provided shall be sufficient to secure day for day and/or pound for pound credits (as applicable) (or actuarially equivalent where ther</w:t>
      </w:r>
      <w:r>
        <w:rPr>
          <w:rFonts w:ascii="Arial" w:eastAsia="Arial" w:hAnsi="Arial"/>
          <w:color w:val="000000"/>
          <w:sz w:val="24"/>
          <w:szCs w:val="24"/>
        </w:rPr>
        <w:t xml:space="preserve">e are benefit differences between the two schemes) in the Replacement Supplier’s Broadly Comparable pension scheme (or relevant Statutory Scheme if applicable). For the avoidance of doubt, should the amount offered by the Broadly Comparable pension scheme </w:t>
      </w:r>
      <w:r>
        <w:rPr>
          <w:rFonts w:ascii="Arial" w:eastAsia="Arial" w:hAnsi="Arial"/>
          <w:color w:val="000000"/>
          <w:sz w:val="24"/>
          <w:szCs w:val="24"/>
        </w:rPr>
        <w:t>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w:t>
      </w:r>
      <w:r>
        <w:rPr>
          <w:rFonts w:ascii="Arial" w:eastAsia="Arial" w:hAnsi="Arial"/>
          <w:color w:val="000000"/>
          <w:sz w:val="24"/>
          <w:szCs w:val="24"/>
        </w:rPr>
        <w:t>t pay the Replacement Supplier’s Broadly Comparable pension scheme (or relevant Statutory Scheme if applicable) the Shortfall as required, provided that in the absence of any agreement between the Supplier and any Subcontractor, the Shortfall shall be paid</w:t>
      </w:r>
      <w:r>
        <w:rPr>
          <w:rFonts w:ascii="Arial" w:eastAsia="Arial" w:hAnsi="Arial"/>
          <w:color w:val="000000"/>
          <w:sz w:val="24"/>
          <w:szCs w:val="24"/>
        </w:rPr>
        <w:t xml:space="preserve"> by the Supplier. The Supplier shall indemnify the Buyer or the Replacement Supplier’s Broadly Comparable pension scheme (or the relevant Statutory Scheme if applicable) (as the Buyer directs) for any failure to pay the Shortfall under this paragraph. </w:t>
      </w:r>
    </w:p>
    <w:p w:rsidR="00D331C1" w:rsidRDefault="00F85E67">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 xml:space="preserve">any unpaid employer’s contributions or employee’s contributions or any other financial obligations under the </w:t>
      </w:r>
      <w:r>
        <w:rPr>
          <w:rFonts w:ascii="Arial" w:eastAsia="Arial" w:hAnsi="Arial"/>
          <w:color w:val="000000"/>
          <w:sz w:val="24"/>
          <w:szCs w:val="24"/>
        </w:rPr>
        <w:t>CSPS or any CSPS Admission Agreement in respect of the CSPS Eligible Employees whether due from the Supplier or from any relevant Subcontractor or due from any third party under any indemnity, bond or guarantee;</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w:t>
      </w:r>
      <w:r>
        <w:rPr>
          <w:rFonts w:ascii="Arial" w:eastAsia="Arial" w:hAnsi="Arial"/>
          <w:color w:val="000000"/>
          <w:sz w:val="24"/>
          <w:szCs w:val="24"/>
        </w:rPr>
        <w:t>yee’s contributions or any other financial obligations under the NHSPS or any Direction Letter/Determination in respect of the NHSPS Eligible Employees whether due from the Supplier or from any relevant Subcontractor or due from any third party under any i</w:t>
      </w:r>
      <w:r>
        <w:rPr>
          <w:rFonts w:ascii="Arial" w:eastAsia="Arial" w:hAnsi="Arial"/>
          <w:color w:val="000000"/>
          <w:sz w:val="24"/>
          <w:szCs w:val="24"/>
        </w:rPr>
        <w:t>ndemnity, bond or guarantee; or</w:t>
      </w:r>
    </w:p>
    <w:p w:rsidR="00D331C1" w:rsidRDefault="00F85E6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w:t>
      </w:r>
      <w:r>
        <w:rPr>
          <w:rFonts w:ascii="Arial" w:eastAsia="Arial" w:hAnsi="Arial"/>
          <w:color w:val="000000"/>
          <w:sz w:val="24"/>
          <w:szCs w:val="24"/>
        </w:rPr>
        <w:t>m any relevant Subcontractor or due from any third party under any indemnity, bond or guarantee;</w:t>
      </w:r>
    </w:p>
    <w:p w:rsidR="00D331C1" w:rsidRDefault="00F85E67">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rsidR="00D331C1" w:rsidRDefault="00F85E67">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w:t>
      </w:r>
      <w:r>
        <w:rPr>
          <w:rFonts w:ascii="Arial" w:eastAsia="Arial" w:hAnsi="Arial"/>
          <w:color w:val="000000"/>
          <w:sz w:val="24"/>
          <w:szCs w:val="24"/>
        </w:rPr>
        <w:t>er the relevant Contract all reasonable costs and expenses incurred by the Buyer as result of Paragraphs 12.1 above.</w:t>
      </w:r>
    </w:p>
    <w:p w:rsidR="00D331C1" w:rsidRDefault="00F85E67">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D331C1" w:rsidRDefault="00F85E67">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D331C1" w:rsidRDefault="00F85E67">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D331C1" w:rsidRDefault="00F85E67">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Ind w:w="-115" w:type="dxa"/>
        <w:tblLayout w:type="fixed"/>
        <w:tblLook w:val="0400" w:firstRow="0" w:lastRow="0" w:firstColumn="0" w:lastColumn="0" w:noHBand="0" w:noVBand="1"/>
      </w:tblPr>
      <w:tblGrid>
        <w:gridCol w:w="2835"/>
        <w:gridCol w:w="6543"/>
      </w:tblGrid>
      <w:tr w:rsidR="00D331C1">
        <w:tc>
          <w:tcPr>
            <w:tcW w:w="2835" w:type="dxa"/>
          </w:tcPr>
          <w:p w:rsidR="00D331C1" w:rsidRDefault="00F85E67">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w:t>
            </w:r>
            <w:r>
              <w:rPr>
                <w:rFonts w:ascii="Arial" w:eastAsia="Arial" w:hAnsi="Arial"/>
                <w:color w:val="000000"/>
                <w:sz w:val="24"/>
                <w:szCs w:val="24"/>
              </w:rPr>
              <w:t>ite immediately prior to the Relevant Transfer Date to be entered into for the CSPS in respect of the Services;</w:t>
            </w:r>
          </w:p>
        </w:tc>
      </w:tr>
      <w:tr w:rsidR="00D331C1">
        <w:tc>
          <w:tcPr>
            <w:tcW w:w="2835" w:type="dxa"/>
          </w:tcPr>
          <w:p w:rsidR="00D331C1" w:rsidRDefault="00F85E67">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D331C1">
        <w:tc>
          <w:tcPr>
            <w:tcW w:w="2835" w:type="dxa"/>
          </w:tcPr>
          <w:p w:rsidR="00D331C1" w:rsidRDefault="00F85E67">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w:t>
            </w:r>
            <w:r>
              <w:rPr>
                <w:rFonts w:ascii="Arial" w:eastAsia="Arial" w:hAnsi="Arial"/>
                <w:color w:val="000000"/>
                <w:sz w:val="24"/>
                <w:szCs w:val="24"/>
              </w:rPr>
              <w:t xml:space="preserve">otection in respect of the CSPS in accordance with the provisions of New Fair Deal; </w:t>
            </w:r>
          </w:p>
        </w:tc>
      </w:tr>
      <w:tr w:rsidR="00D331C1">
        <w:tc>
          <w:tcPr>
            <w:tcW w:w="2835" w:type="dxa"/>
          </w:tcPr>
          <w:p w:rsidR="00D331C1" w:rsidRDefault="00F85E67">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D331C1" w:rsidRDefault="00F85E67">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D331C1" w:rsidRDefault="00F85E67">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D331C1" w:rsidRDefault="00F85E67">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w:t>
      </w:r>
      <w:r>
        <w:rPr>
          <w:rFonts w:ascii="Arial" w:eastAsia="Arial" w:hAnsi="Arial"/>
          <w:color w:val="000000"/>
          <w:sz w:val="24"/>
          <w:szCs w:val="24"/>
        </w:rPr>
        <w:t>f any CSPS Fair Deal Employee compulsorily transfers as a result of either the award of the relevant Contract or a Relevant Transfer, if not an employer which participates automatically in the CSPS, shall each secure a CSPS Admission Agreement to ensure th</w:t>
      </w:r>
      <w:r>
        <w:rPr>
          <w:rFonts w:ascii="Arial" w:eastAsia="Arial" w:hAnsi="Arial"/>
          <w:color w:val="000000"/>
          <w:sz w:val="24"/>
          <w:szCs w:val="24"/>
        </w:rPr>
        <w:t>at CSPS Fair Deal Employees or CSPS Eligible Employees as appropriate shall be either admitted into, or offered continued membership of, the relevant section of the CSPS that they currently contribute to, or were eligible to join immediately prior to the R</w:t>
      </w:r>
      <w:r>
        <w:rPr>
          <w:rFonts w:ascii="Arial" w:eastAsia="Arial" w:hAnsi="Arial"/>
          <w:color w:val="000000"/>
          <w:sz w:val="24"/>
          <w:szCs w:val="24"/>
        </w:rPr>
        <w:t>elevant Transfer Date  or became eligible to join on the Relevant Transfer Date. The Supplier and/or any of its Subcontractors shall procure that the CSPS Fair Deal Employees continue to accrue benefits in the CSPS in accordance with the provisions governi</w:t>
      </w:r>
      <w:r>
        <w:rPr>
          <w:rFonts w:ascii="Arial" w:eastAsia="Arial" w:hAnsi="Arial"/>
          <w:color w:val="000000"/>
          <w:sz w:val="24"/>
          <w:szCs w:val="24"/>
        </w:rPr>
        <w:t xml:space="preserve">ng the relevant section of the CSPS for service from (and including) the Relevant Transfer Date. </w:t>
      </w:r>
    </w:p>
    <w:p w:rsidR="00D331C1" w:rsidRDefault="00F85E67">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lastRenderedPageBreak/>
        <w:t>If the Supplier and/or any of its Subcontractors enters into a CSPS Admission Agreement in accordance with paragraph 2.1 but the CSPS Admission Agreement is terminated during the term of the relevant Contract for any reason at a time when the Supplier or S</w:t>
      </w:r>
      <w:r>
        <w:rPr>
          <w:rFonts w:ascii="Arial" w:eastAsia="Arial" w:hAnsi="Arial"/>
          <w:color w:val="000000"/>
          <w:sz w:val="24"/>
          <w:szCs w:val="24"/>
        </w:rPr>
        <w:t xml:space="preserve">ubcontractor still employs any CSPS Eligible Employees, the Supplier shall (and procure that its Subcontractors shall) at no extra cost to the Buyer, offer the remaining CSPS Eligible Employees membership of a pension scheme which is Broadly Comparable to </w:t>
      </w:r>
      <w:r>
        <w:rPr>
          <w:rFonts w:ascii="Arial" w:eastAsia="Arial" w:hAnsi="Arial"/>
          <w:color w:val="000000"/>
          <w:sz w:val="24"/>
          <w:szCs w:val="24"/>
        </w:rPr>
        <w:t xml:space="preserve">the CSPS on the date those CSPS Eligible Employees ceased to participate in the CSPS in accordance with the provisions of paragraph 11 of Part D. </w:t>
      </w:r>
    </w:p>
    <w:p w:rsidR="00D331C1" w:rsidRDefault="00D331C1">
      <w:pPr>
        <w:rPr>
          <w:rFonts w:ascii="Arial" w:eastAsia="Arial" w:hAnsi="Arial"/>
          <w:sz w:val="24"/>
          <w:szCs w:val="24"/>
        </w:rPr>
      </w:pPr>
    </w:p>
    <w:p w:rsidR="00D331C1" w:rsidRDefault="00F85E67">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D331C1" w:rsidRDefault="00F85E67">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D331C1" w:rsidRDefault="00F85E67">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Ind w:w="-115" w:type="dxa"/>
        <w:tblLayout w:type="fixed"/>
        <w:tblLook w:val="0400" w:firstRow="0" w:lastRow="0" w:firstColumn="0" w:lastColumn="0" w:noHBand="0" w:noVBand="1"/>
      </w:tblPr>
      <w:tblGrid>
        <w:gridCol w:w="3397"/>
        <w:gridCol w:w="5629"/>
      </w:tblGrid>
      <w:tr w:rsidR="00D331C1">
        <w:tc>
          <w:tcPr>
            <w:tcW w:w="3397" w:type="dxa"/>
          </w:tcPr>
          <w:p w:rsidR="00D331C1" w:rsidRDefault="00F85E67">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D331C1">
        <w:tc>
          <w:tcPr>
            <w:tcW w:w="3397" w:type="dxa"/>
          </w:tcPr>
          <w:p w:rsidR="00D331C1" w:rsidRDefault="00F85E67">
            <w:pPr>
              <w:spacing w:before="120" w:after="120"/>
              <w:ind w:left="720"/>
              <w:rPr>
                <w:rFonts w:ascii="Arial" w:eastAsia="Arial" w:hAnsi="Arial"/>
                <w:b/>
                <w:sz w:val="24"/>
                <w:szCs w:val="24"/>
              </w:rPr>
            </w:pPr>
            <w:r>
              <w:rPr>
                <w:rFonts w:ascii="Arial" w:eastAsia="Arial" w:hAnsi="Arial"/>
                <w:b/>
                <w:sz w:val="24"/>
                <w:szCs w:val="24"/>
              </w:rPr>
              <w:t>“NHS Broadly Comparable Empl</w:t>
            </w:r>
            <w:r>
              <w:rPr>
                <w:rFonts w:ascii="Arial" w:eastAsia="Arial" w:hAnsi="Arial"/>
                <w:b/>
                <w:sz w:val="24"/>
                <w:szCs w:val="24"/>
              </w:rPr>
              <w:t>oyees”</w:t>
            </w:r>
          </w:p>
        </w:tc>
        <w:tc>
          <w:tcPr>
            <w:tcW w:w="5629" w:type="dxa"/>
          </w:tcPr>
          <w:p w:rsidR="00D331C1" w:rsidRDefault="00F85E67">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olor w:val="000000"/>
                <w:sz w:val="24"/>
                <w:szCs w:val="24"/>
              </w:rPr>
              <w:t xml:space="preserve"> either:</w:t>
            </w:r>
          </w:p>
          <w:p w:rsidR="00D331C1" w:rsidRDefault="00F85E67">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D331C1" w:rsidRDefault="00F85E67">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color w:val="000000"/>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color w:val="000000"/>
                <w:sz w:val="24"/>
                <w:szCs w:val="24"/>
              </w:rPr>
              <w:t>y the Former Supplier),</w:t>
            </w:r>
          </w:p>
          <w:p w:rsidR="00D331C1" w:rsidRDefault="00F85E67">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 xml:space="preserve">Broadly </w:t>
            </w:r>
            <w:r>
              <w:rPr>
                <w:rFonts w:ascii="Arial" w:eastAsia="Arial" w:hAnsi="Arial"/>
                <w:sz w:val="24"/>
                <w:szCs w:val="24"/>
              </w:rPr>
              <w:t>Comparable to those provided under the NHSPS.</w:t>
            </w:r>
          </w:p>
        </w:tc>
      </w:tr>
      <w:tr w:rsidR="00D331C1">
        <w:tc>
          <w:tcPr>
            <w:tcW w:w="3397" w:type="dxa"/>
          </w:tcPr>
          <w:p w:rsidR="00D331C1" w:rsidRDefault="00F85E67">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D331C1">
        <w:tc>
          <w:tcPr>
            <w:tcW w:w="3397" w:type="dxa"/>
          </w:tcPr>
          <w:p w:rsidR="00D331C1" w:rsidRDefault="00F85E67">
            <w:pPr>
              <w:spacing w:before="120" w:after="120"/>
              <w:ind w:left="720"/>
              <w:rPr>
                <w:rFonts w:ascii="Arial" w:eastAsia="Arial" w:hAnsi="Arial"/>
                <w:b/>
                <w:sz w:val="24"/>
                <w:szCs w:val="24"/>
              </w:rPr>
            </w:pPr>
            <w:r>
              <w:rPr>
                <w:rFonts w:ascii="Arial" w:eastAsia="Arial" w:hAnsi="Arial"/>
                <w:b/>
                <w:sz w:val="24"/>
                <w:szCs w:val="24"/>
              </w:rPr>
              <w:t>"NHSPS Fair Deal  E</w:t>
            </w:r>
            <w:r>
              <w:rPr>
                <w:rFonts w:ascii="Arial" w:eastAsia="Arial" w:hAnsi="Arial"/>
                <w:b/>
                <w:sz w:val="24"/>
                <w:szCs w:val="24"/>
              </w:rPr>
              <w:t>mployees"</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Pr>
                <w:rFonts w:ascii="Arial" w:eastAsia="Arial" w:hAnsi="Arial"/>
                <w:color w:val="000000"/>
                <w:sz w:val="24"/>
                <w:szCs w:val="24"/>
              </w:rPr>
              <w:t xml:space="preserve">o be or become a member of, the NHSPS as a result of either: </w:t>
            </w:r>
          </w:p>
        </w:tc>
      </w:tr>
      <w:tr w:rsidR="00D331C1">
        <w:tc>
          <w:tcPr>
            <w:tcW w:w="3397" w:type="dxa"/>
          </w:tcPr>
          <w:p w:rsidR="00D331C1" w:rsidRDefault="00D331C1">
            <w:pPr>
              <w:spacing w:before="120" w:after="120"/>
              <w:ind w:left="720"/>
              <w:rPr>
                <w:rFonts w:ascii="Arial" w:eastAsia="Arial" w:hAnsi="Arial"/>
                <w:b/>
                <w:sz w:val="24"/>
                <w:szCs w:val="24"/>
              </w:rPr>
            </w:pPr>
          </w:p>
        </w:tc>
        <w:tc>
          <w:tcPr>
            <w:tcW w:w="5629" w:type="dxa"/>
          </w:tcPr>
          <w:p w:rsidR="00D331C1" w:rsidRDefault="00F85E67">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D331C1">
        <w:tc>
          <w:tcPr>
            <w:tcW w:w="3397" w:type="dxa"/>
          </w:tcPr>
          <w:p w:rsidR="00D331C1" w:rsidRDefault="00D331C1">
            <w:pPr>
              <w:spacing w:before="120" w:after="120"/>
              <w:ind w:left="720"/>
              <w:rPr>
                <w:rFonts w:ascii="Arial" w:eastAsia="Arial" w:hAnsi="Arial"/>
                <w:b/>
                <w:sz w:val="24"/>
                <w:szCs w:val="24"/>
              </w:rPr>
            </w:pPr>
          </w:p>
        </w:tc>
        <w:tc>
          <w:tcPr>
            <w:tcW w:w="5629" w:type="dxa"/>
          </w:tcPr>
          <w:p w:rsidR="00D331C1" w:rsidRDefault="00F85E67">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w:t>
            </w:r>
            <w:r>
              <w:rPr>
                <w:rFonts w:ascii="Arial" w:eastAsia="Arial" w:hAnsi="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color w:val="000000"/>
                <w:sz w:val="24"/>
                <w:szCs w:val="24"/>
              </w:rPr>
              <w:t>pplier),</w:t>
            </w:r>
          </w:p>
        </w:tc>
      </w:tr>
      <w:tr w:rsidR="00D331C1">
        <w:tc>
          <w:tcPr>
            <w:tcW w:w="3397" w:type="dxa"/>
          </w:tcPr>
          <w:p w:rsidR="00D331C1" w:rsidRDefault="00D331C1">
            <w:pPr>
              <w:spacing w:before="120" w:after="120"/>
              <w:ind w:left="720"/>
              <w:rPr>
                <w:rFonts w:ascii="Arial" w:eastAsia="Arial" w:hAnsi="Arial"/>
                <w:b/>
                <w:sz w:val="24"/>
                <w:szCs w:val="24"/>
              </w:rPr>
            </w:pP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D331C1">
        <w:tc>
          <w:tcPr>
            <w:tcW w:w="3397" w:type="dxa"/>
          </w:tcPr>
          <w:p w:rsidR="00D331C1" w:rsidRDefault="00D331C1">
            <w:pPr>
              <w:spacing w:before="120" w:after="120"/>
              <w:ind w:left="720"/>
              <w:rPr>
                <w:rFonts w:ascii="Arial" w:eastAsia="Arial" w:hAnsi="Arial"/>
                <w:b/>
                <w:sz w:val="24"/>
                <w:szCs w:val="24"/>
              </w:rPr>
            </w:pP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For the avoidance of doubt, an individual who is in or entitled to be</w:t>
            </w:r>
            <w:r>
              <w:rPr>
                <w:rFonts w:ascii="Arial" w:eastAsia="Arial" w:hAnsi="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Pr>
                <w:rFonts w:ascii="Arial" w:eastAsia="Arial" w:hAnsi="Arial"/>
                <w:color w:val="000000"/>
                <w:sz w:val="24"/>
                <w:szCs w:val="24"/>
              </w:rPr>
              <w:t xml:space="preserve">participates automatically in the NHSPS) is not an NHSPS Fair Deal Employee;  </w:t>
            </w:r>
          </w:p>
        </w:tc>
      </w:tr>
      <w:tr w:rsidR="00D331C1">
        <w:tc>
          <w:tcPr>
            <w:tcW w:w="3397" w:type="dxa"/>
          </w:tcPr>
          <w:p w:rsidR="00D331C1" w:rsidRDefault="00F85E67">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w:t>
            </w:r>
            <w:r>
              <w:rPr>
                <w:rFonts w:ascii="Arial" w:eastAsia="Arial" w:hAnsi="Arial"/>
                <w:color w:val="000000"/>
                <w:sz w:val="24"/>
                <w:szCs w:val="24"/>
              </w:rPr>
              <w:t xml:space="preserve">12; </w:t>
            </w:r>
          </w:p>
        </w:tc>
      </w:tr>
      <w:tr w:rsidR="00D331C1">
        <w:tc>
          <w:tcPr>
            <w:tcW w:w="3397" w:type="dxa"/>
          </w:tcPr>
          <w:p w:rsidR="00D331C1" w:rsidRDefault="00F85E67">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D331C1">
        <w:tc>
          <w:tcPr>
            <w:tcW w:w="3397" w:type="dxa"/>
          </w:tcPr>
          <w:p w:rsidR="00D331C1" w:rsidRDefault="00F85E67">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331C1">
        <w:tc>
          <w:tcPr>
            <w:tcW w:w="3397" w:type="dxa"/>
          </w:tcPr>
          <w:p w:rsidR="00D331C1" w:rsidRDefault="00D331C1">
            <w:pPr>
              <w:spacing w:before="120" w:after="120"/>
              <w:ind w:left="993"/>
              <w:rPr>
                <w:rFonts w:ascii="Arial" w:eastAsia="Arial" w:hAnsi="Arial"/>
                <w:b/>
                <w:sz w:val="24"/>
                <w:szCs w:val="24"/>
              </w:rPr>
            </w:pPr>
          </w:p>
        </w:tc>
        <w:tc>
          <w:tcPr>
            <w:tcW w:w="5629" w:type="dxa"/>
          </w:tcPr>
          <w:p w:rsidR="00D331C1" w:rsidRDefault="00D331C1">
            <w:pPr>
              <w:tabs>
                <w:tab w:val="left" w:pos="235"/>
              </w:tabs>
              <w:spacing w:before="120" w:after="120"/>
              <w:rPr>
                <w:rFonts w:ascii="Arial" w:eastAsia="Arial" w:hAnsi="Arial"/>
                <w:color w:val="000000"/>
                <w:sz w:val="24"/>
                <w:szCs w:val="24"/>
              </w:rPr>
            </w:pPr>
          </w:p>
        </w:tc>
      </w:tr>
      <w:tr w:rsidR="00D331C1">
        <w:tc>
          <w:tcPr>
            <w:tcW w:w="3397" w:type="dxa"/>
          </w:tcPr>
          <w:p w:rsidR="00D331C1" w:rsidRDefault="00F85E67">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olor w:val="000000"/>
                <w:sz w:val="24"/>
                <w:szCs w:val="24"/>
              </w:rPr>
              <w:t>heme Regulations 2015 (2015/94) and any subsequent regulations made in respect of the NHSPS, each as amended from time to time;</w:t>
            </w:r>
          </w:p>
        </w:tc>
      </w:tr>
      <w:tr w:rsidR="00D331C1">
        <w:tc>
          <w:tcPr>
            <w:tcW w:w="3397" w:type="dxa"/>
          </w:tcPr>
          <w:p w:rsidR="00D331C1" w:rsidRDefault="00F85E67">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rights to which any NHS Fair Deal Employee (had they remained in the employment of the Buyer,</w:t>
            </w:r>
            <w:r>
              <w:rPr>
                <w:rFonts w:ascii="Arial" w:eastAsia="Arial" w:hAnsi="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Pr>
                <w:rFonts w:ascii="Arial" w:eastAsia="Arial" w:hAnsi="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D331C1">
        <w:tc>
          <w:tcPr>
            <w:tcW w:w="3397" w:type="dxa"/>
          </w:tcPr>
          <w:p w:rsidR="00D331C1" w:rsidRDefault="00F85E67">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D331C1" w:rsidRDefault="00F85E6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w:t>
            </w:r>
            <w:r>
              <w:rPr>
                <w:rFonts w:ascii="Arial" w:eastAsia="Arial" w:hAnsi="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D331C1">
        <w:tc>
          <w:tcPr>
            <w:tcW w:w="3397" w:type="dxa"/>
          </w:tcPr>
          <w:p w:rsidR="00D331C1" w:rsidRDefault="00D331C1">
            <w:pPr>
              <w:spacing w:before="120" w:after="120"/>
              <w:ind w:left="993"/>
              <w:rPr>
                <w:rFonts w:ascii="Arial" w:eastAsia="Arial" w:hAnsi="Arial"/>
                <w:b/>
                <w:sz w:val="24"/>
                <w:szCs w:val="24"/>
              </w:rPr>
            </w:pPr>
          </w:p>
        </w:tc>
        <w:tc>
          <w:tcPr>
            <w:tcW w:w="5629" w:type="dxa"/>
          </w:tcPr>
          <w:p w:rsidR="00D331C1" w:rsidRDefault="00D331C1">
            <w:pPr>
              <w:tabs>
                <w:tab w:val="left" w:pos="235"/>
              </w:tabs>
              <w:spacing w:before="120" w:after="120"/>
              <w:rPr>
                <w:rFonts w:ascii="Arial" w:eastAsia="Arial" w:hAnsi="Arial"/>
                <w:sz w:val="24"/>
                <w:szCs w:val="24"/>
              </w:rPr>
            </w:pPr>
          </w:p>
        </w:tc>
      </w:tr>
    </w:tbl>
    <w:p w:rsidR="00D331C1" w:rsidRDefault="00F85E67">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lastRenderedPageBreak/>
        <w:t>Membership of the NHS Pension Scheme</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Pr>
          <w:rFonts w:ascii="Arial" w:eastAsia="Arial" w:hAnsi="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Pr>
          <w:rFonts w:ascii="Arial" w:eastAsia="Arial" w:hAnsi="Arial"/>
          <w:color w:val="000000"/>
          <w:sz w:val="24"/>
          <w:szCs w:val="24"/>
        </w:rPr>
        <w:t xml:space="preserve"> employed in connection with the delivery of the Services under the relevant Contract. </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w:t>
      </w:r>
      <w:r>
        <w:rPr>
          <w:rFonts w:ascii="Arial" w:eastAsia="Arial" w:hAnsi="Arial"/>
          <w:color w:val="000000"/>
          <w:sz w:val="24"/>
          <w:szCs w:val="24"/>
        </w:rPr>
        <w:t>ier must secure a Direction Letter/Determination as soon as possible after the Relevant Transfer Date, and in the period between the Relevant Transfer Date and the date the Direction Letter/Determination is secure, the Supplier must ensure that:</w:t>
      </w:r>
    </w:p>
    <w:p w:rsidR="00D331C1" w:rsidRDefault="00F85E67">
      <w:pPr>
        <w:pStyle w:val="Heading4"/>
        <w:numPr>
          <w:ilvl w:val="3"/>
          <w:numId w:val="18"/>
        </w:numPr>
        <w:rPr>
          <w:rFonts w:ascii="Arial" w:eastAsia="Arial" w:hAnsi="Arial"/>
          <w:sz w:val="24"/>
          <w:szCs w:val="24"/>
        </w:rPr>
      </w:pPr>
      <w:r>
        <w:rPr>
          <w:rFonts w:ascii="Arial" w:eastAsia="Arial" w:hAnsi="Arial"/>
          <w:sz w:val="24"/>
          <w:szCs w:val="24"/>
        </w:rPr>
        <w:t>all employ</w:t>
      </w:r>
      <w:r>
        <w:rPr>
          <w:rFonts w:ascii="Arial" w:eastAsia="Arial" w:hAnsi="Arial"/>
          <w:sz w:val="24"/>
          <w:szCs w:val="24"/>
        </w:rPr>
        <w:t>er's and NHSPS Fair Deal Employees' contributions intended to go to the NHSPS are kept in a separate bank account; and</w:t>
      </w:r>
    </w:p>
    <w:p w:rsidR="00D331C1" w:rsidRDefault="00F85E67">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w:t>
      </w:r>
      <w:r>
        <w:rPr>
          <w:rFonts w:ascii="Arial" w:eastAsia="Arial" w:hAnsi="Arial"/>
          <w:color w:val="000000"/>
          <w:sz w:val="24"/>
          <w:szCs w:val="24"/>
        </w:rPr>
        <w:t>t all of its NHSPS Fair Deal Employees have a contractual right to continuous active membership of or eligibility for the NHSPS for so long as they have a right to membership or eligibility of that scheme under the terms of the Direction Letter/Determinati</w:t>
      </w:r>
      <w:r>
        <w:rPr>
          <w:rFonts w:ascii="Arial" w:eastAsia="Arial" w:hAnsi="Arial"/>
          <w:color w:val="000000"/>
          <w:sz w:val="24"/>
          <w:szCs w:val="24"/>
        </w:rPr>
        <w:t>on.</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w:t>
      </w:r>
      <w:r>
        <w:rPr>
          <w:rFonts w:ascii="Arial" w:eastAsia="Arial" w:hAnsi="Arial"/>
          <w:color w:val="000000"/>
          <w:sz w:val="24"/>
          <w:szCs w:val="24"/>
        </w:rPr>
        <w:t xml:space="preserve"> policy issued by the Department of Health and Social Care in respect of the NHSPS Fair Deal Employees for so long as it remains bound by the terms of any such Direction Letter/Determination. </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w:t>
      </w:r>
      <w:r>
        <w:rPr>
          <w:rFonts w:ascii="Arial" w:eastAsia="Arial" w:hAnsi="Arial"/>
          <w:color w:val="000000"/>
          <w:sz w:val="24"/>
          <w:szCs w:val="24"/>
        </w:rPr>
        <w:t>ion supplied in accordance with Paragraph 2 of this Annex are subsequently found to be an NHSPS Fair Deal Employee, the Supplier will (and will procure that its Subcontractors (if any) will) treat that person as if they had been an NHSPS Fair Deal Employee</w:t>
      </w:r>
      <w:r>
        <w:rPr>
          <w:rFonts w:ascii="Arial" w:eastAsia="Arial" w:hAnsi="Arial"/>
          <w:color w:val="000000"/>
          <w:sz w:val="24"/>
          <w:szCs w:val="24"/>
        </w:rPr>
        <w:t xml:space="preserve"> from the Relevant Transfer Date so that their Pension Benefits and NHS Premature Retirement Rights are not adversely affected.</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Subcontractor provide any guarantee, bond or indemnit</w:t>
      </w:r>
      <w:r>
        <w:rPr>
          <w:rFonts w:ascii="Arial" w:eastAsia="Arial" w:hAnsi="Arial"/>
          <w:color w:val="000000"/>
          <w:sz w:val="24"/>
          <w:szCs w:val="24"/>
        </w:rPr>
        <w:t>y required by NHS Pensions in relation to a Direction Letter/Determination.</w:t>
      </w:r>
    </w:p>
    <w:p w:rsidR="00D331C1" w:rsidRDefault="00F85E67">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From the Relevant Transfer Date until the Service Transfer Date, the Supplier must provide (and/or must ensure that its Subco</w:t>
      </w:r>
      <w:r>
        <w:rPr>
          <w:rFonts w:ascii="Arial" w:eastAsia="Arial" w:hAnsi="Arial"/>
          <w:color w:val="000000"/>
          <w:sz w:val="24"/>
          <w:szCs w:val="24"/>
        </w:rPr>
        <w:t>ntractors (if any) provide) NHS Premature Retirement Rights in respect of the NHSPS Fair Deal Employees that are identical to the benefits they would have received had they remained employees of the Buyer, an NHS Body or other employer which participates a</w:t>
      </w:r>
      <w:r>
        <w:rPr>
          <w:rFonts w:ascii="Arial" w:eastAsia="Arial" w:hAnsi="Arial"/>
          <w:color w:val="000000"/>
          <w:sz w:val="24"/>
          <w:szCs w:val="24"/>
        </w:rPr>
        <w:t xml:space="preserve">utomatically in the NHSPS. </w:t>
      </w:r>
    </w:p>
    <w:p w:rsidR="00D331C1" w:rsidRDefault="00F85E67">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D331C1" w:rsidRDefault="00D331C1">
      <w:pPr>
        <w:ind w:left="357"/>
        <w:rPr>
          <w:rFonts w:ascii="Arial" w:eastAsia="Arial" w:hAnsi="Arial"/>
          <w:sz w:val="24"/>
          <w:szCs w:val="24"/>
        </w:rPr>
      </w:pPr>
    </w:p>
    <w:p w:rsidR="00D331C1" w:rsidRDefault="00F85E67">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w:t>
      </w:r>
      <w:r>
        <w:rPr>
          <w:rFonts w:ascii="Arial" w:eastAsia="Arial" w:hAnsi="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 xml:space="preserve">If the Supplier (or its Subcontractors, if </w:t>
      </w:r>
      <w:r>
        <w:rPr>
          <w:rFonts w:ascii="Arial" w:eastAsia="Arial" w:hAnsi="Arial"/>
          <w:color w:val="000000"/>
          <w:sz w:val="24"/>
          <w:szCs w:val="24"/>
        </w:rPr>
        <w:t>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w:t>
      </w:r>
      <w:r>
        <w:rPr>
          <w:rFonts w:ascii="Arial" w:eastAsia="Arial" w:hAnsi="Arial"/>
          <w:color w:val="000000"/>
          <w:sz w:val="24"/>
          <w:szCs w:val="24"/>
        </w:rPr>
        <w:t xml:space="preserve"> the NHSPS Eligible Employees ceased to participate in the NHSPS in accordance with the provisions of paragraph 11 of Part D. Subcontractor.</w:t>
      </w:r>
    </w:p>
    <w:p w:rsidR="00D331C1" w:rsidRDefault="00F85E67">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D331C1" w:rsidRDefault="00F85E67">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rsidR="00D331C1" w:rsidRDefault="00F85E67">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rsidR="00D331C1" w:rsidRDefault="00F85E67">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rsidR="00D331C1" w:rsidRDefault="00F85E67">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w:t>
      </w:r>
      <w:r>
        <w:rPr>
          <w:rFonts w:ascii="Arial" w:eastAsia="Arial" w:hAnsi="Arial"/>
          <w:sz w:val="24"/>
          <w:szCs w:val="24"/>
        </w:rPr>
        <w:t>ubcontractor as relevant) having consulted with a view to reaching agreement with any recognised trade union or, in the absence of such body, the NHSPS Fair Deal Employees.  The Supplier must meet (or must procure that the relevant Subcontractor meets) the</w:t>
      </w:r>
      <w:r>
        <w:rPr>
          <w:rFonts w:ascii="Arial" w:eastAsia="Arial" w:hAnsi="Arial"/>
          <w:sz w:val="24"/>
          <w:szCs w:val="24"/>
        </w:rPr>
        <w:t xml:space="preserv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w:t>
      </w:r>
      <w:r>
        <w:rPr>
          <w:rFonts w:ascii="Arial" w:eastAsia="Arial" w:hAnsi="Arial"/>
          <w:color w:val="000000"/>
          <w:sz w:val="24"/>
          <w:szCs w:val="24"/>
        </w:rPr>
        <w:t>inate the Contract.</w:t>
      </w:r>
    </w:p>
    <w:p w:rsidR="00D331C1" w:rsidRDefault="00F85E67">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D331C1" w:rsidRDefault="00F85E67">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w:t>
      </w:r>
      <w:r>
        <w:rPr>
          <w:rFonts w:ascii="Arial" w:eastAsia="Arial" w:hAnsi="Arial"/>
          <w:color w:val="000000"/>
          <w:sz w:val="24"/>
          <w:szCs w:val="24"/>
        </w:rPr>
        <w:t>able Employees that the provision of (or failure to provide) Pension Benefits and NHS Premature Retirement Rights from the Relevant Transfer Date, or the level of such benefit provided, constitutes a breach of his or her employment rights.</w:t>
      </w:r>
    </w:p>
    <w:p w:rsidR="00D331C1" w:rsidRDefault="00F85E67">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D331C1" w:rsidRDefault="00F85E67">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D331C1" w:rsidRDefault="00F85E67">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D331C1" w:rsidRDefault="00F85E67">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w:t>
      </w:r>
      <w:r>
        <w:rPr>
          <w:rFonts w:ascii="Arial" w:eastAsia="Arial" w:hAnsi="Arial"/>
          <w:b/>
          <w:sz w:val="24"/>
          <w:szCs w:val="24"/>
          <w:highlight w:val="yellow"/>
        </w:rPr>
        <w:t>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D331C1" w:rsidRDefault="00F85E67">
      <w:pPr>
        <w:rPr>
          <w:rFonts w:ascii="Arial" w:eastAsia="Arial" w:hAnsi="Arial"/>
          <w:sz w:val="24"/>
          <w:szCs w:val="24"/>
        </w:rPr>
      </w:pPr>
      <w:r>
        <w:rPr>
          <w:rFonts w:ascii="Arial" w:eastAsia="Arial" w:hAnsi="Arial"/>
          <w:sz w:val="24"/>
          <w:szCs w:val="24"/>
        </w:rPr>
        <w:t xml:space="preserve">Note the LGPS unlike the CSPS </w:t>
      </w:r>
      <w:r>
        <w:rPr>
          <w:rFonts w:ascii="Arial" w:eastAsia="Arial" w:hAnsi="Arial"/>
          <w:sz w:val="24"/>
          <w:szCs w:val="24"/>
        </w:rPr>
        <w:t>&amp; NHSPS is a funded scheme which has associated cost implications as follows:</w:t>
      </w:r>
    </w:p>
    <w:p w:rsidR="00D331C1" w:rsidRDefault="00F85E67">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w:t>
      </w:r>
      <w:r>
        <w:rPr>
          <w:rFonts w:ascii="Arial" w:eastAsia="Arial" w:hAnsi="Arial"/>
          <w:sz w:val="24"/>
          <w:szCs w:val="24"/>
        </w:rPr>
        <w:t xml:space="preserve"> the definition of "Fund" accordingly.</w:t>
      </w:r>
    </w:p>
    <w:p w:rsidR="00D331C1" w:rsidRDefault="00F85E67">
      <w:pPr>
        <w:rPr>
          <w:rFonts w:ascii="Arial" w:eastAsia="Arial" w:hAnsi="Arial"/>
          <w:sz w:val="24"/>
          <w:szCs w:val="24"/>
        </w:rPr>
      </w:pPr>
      <w:r>
        <w:rPr>
          <w:rFonts w:ascii="Arial" w:eastAsia="Arial" w:hAnsi="Arial"/>
          <w:sz w:val="24"/>
          <w:szCs w:val="24"/>
        </w:rPr>
        <w:t>It is important to check whether CCS and or the Buyer can actually participate in the LGPS. Where a government department is taking on services which were formerly the responsibility of a Local Authority it may be nec</w:t>
      </w:r>
      <w:r>
        <w:rPr>
          <w:rFonts w:ascii="Arial" w:eastAsia="Arial" w:hAnsi="Arial"/>
          <w:sz w:val="24"/>
          <w:szCs w:val="24"/>
        </w:rPr>
        <w:t xml:space="preserve">essary to obtain secretary of state approval for participation in the LGPS, this is because the services are being provided to Gov. Dept. and not to a Local Authority. </w:t>
      </w:r>
    </w:p>
    <w:p w:rsidR="00D331C1" w:rsidRDefault="00F85E67">
      <w:pPr>
        <w:rPr>
          <w:rFonts w:ascii="Arial" w:eastAsia="Arial" w:hAnsi="Arial"/>
          <w:sz w:val="24"/>
          <w:szCs w:val="24"/>
        </w:rPr>
      </w:pPr>
      <w:r>
        <w:rPr>
          <w:rFonts w:ascii="Arial" w:eastAsia="Arial" w:hAnsi="Arial"/>
          <w:sz w:val="24"/>
          <w:szCs w:val="24"/>
        </w:rPr>
        <w:t xml:space="preserve">Unlike New Fair Deal the 2007 Best Value pension direction does not provide a right to </w:t>
      </w:r>
      <w:r>
        <w:rPr>
          <w:rFonts w:ascii="Arial" w:eastAsia="Arial" w:hAnsi="Arial"/>
          <w:sz w:val="24"/>
          <w:szCs w:val="24"/>
        </w:rPr>
        <w:t>bulk transfer past service.  Whilst typically before the 2007 direction LA did provide such a right, it is a significant additional cost and therefore bulk transfer wording has been excluded.  If required take legal advice due to the exceptionally high cos</w:t>
      </w:r>
      <w:r>
        <w:rPr>
          <w:rFonts w:ascii="Arial" w:eastAsia="Arial" w:hAnsi="Arial"/>
          <w:sz w:val="24"/>
          <w:szCs w:val="24"/>
        </w:rPr>
        <w:t>ts which can result from a requirement to provide bulk transfers.]</w:t>
      </w:r>
    </w:p>
    <w:p w:rsidR="00D331C1" w:rsidRDefault="00F85E67">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D331C1" w:rsidRDefault="00F85E6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Ind w:w="-115" w:type="dxa"/>
        <w:tblLayout w:type="fixed"/>
        <w:tblLook w:val="0000" w:firstRow="0" w:lastRow="0" w:firstColumn="0" w:lastColumn="0" w:noHBand="0" w:noVBand="0"/>
      </w:tblPr>
      <w:tblGrid>
        <w:gridCol w:w="2635"/>
        <w:gridCol w:w="6391"/>
      </w:tblGrid>
      <w:tr w:rsidR="00D331C1">
        <w:trPr>
          <w:trHeight w:val="653"/>
        </w:trPr>
        <w:tc>
          <w:tcPr>
            <w:tcW w:w="2635" w:type="dxa"/>
            <w:shd w:val="clear" w:color="auto" w:fill="auto"/>
          </w:tcPr>
          <w:p w:rsidR="00D331C1" w:rsidRDefault="00F85E67">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D331C1" w:rsidRDefault="00F85E67">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D331C1">
        <w:trPr>
          <w:trHeight w:val="653"/>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D331C1" w:rsidRDefault="00F85E67">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D331C1">
        <w:trPr>
          <w:trHeight w:val="653"/>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D331C1" w:rsidRDefault="00F85E67">
            <w:pPr>
              <w:rPr>
                <w:rFonts w:ascii="Arial" w:eastAsia="Arial" w:hAnsi="Arial"/>
                <w:sz w:val="24"/>
                <w:szCs w:val="24"/>
              </w:rPr>
            </w:pPr>
            <w:r>
              <w:rPr>
                <w:rFonts w:ascii="Arial" w:eastAsia="Arial" w:hAnsi="Arial"/>
                <w:sz w:val="24"/>
                <w:szCs w:val="24"/>
              </w:rPr>
              <w:t>the actuary to a Fund appointed by the Administering Buyer of that Fund;</w:t>
            </w:r>
          </w:p>
        </w:tc>
      </w:tr>
      <w:tr w:rsidR="00D331C1">
        <w:trPr>
          <w:trHeight w:val="337"/>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D331C1" w:rsidRDefault="00F85E67">
            <w:pPr>
              <w:rPr>
                <w:rFonts w:ascii="Arial" w:eastAsia="Arial" w:hAnsi="Arial"/>
                <w:b/>
                <w:sz w:val="24"/>
                <w:szCs w:val="24"/>
              </w:rPr>
            </w:pPr>
            <w:r>
              <w:rPr>
                <w:rFonts w:ascii="Arial" w:eastAsia="Arial" w:hAnsi="Arial"/>
                <w:b/>
                <w:sz w:val="24"/>
                <w:szCs w:val="24"/>
                <w:highlight w:val="yellow"/>
              </w:rPr>
              <w:t>[insert name], a pension fund within the LGPS;</w:t>
            </w:r>
          </w:p>
        </w:tc>
      </w:tr>
      <w:tr w:rsidR="00D331C1">
        <w:trPr>
          <w:trHeight w:val="337"/>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D331C1" w:rsidRDefault="00F85E67">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D331C1">
        <w:trPr>
          <w:trHeight w:val="1269"/>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D331C1" w:rsidRDefault="00F85E67">
            <w:pPr>
              <w:rPr>
                <w:rFonts w:ascii="Arial" w:eastAsia="Arial" w:hAnsi="Arial"/>
                <w:sz w:val="24"/>
                <w:szCs w:val="24"/>
              </w:rPr>
            </w:pPr>
            <w:r>
              <w:rPr>
                <w:rFonts w:ascii="Arial" w:eastAsia="Arial" w:hAnsi="Arial"/>
                <w:sz w:val="24"/>
                <w:szCs w:val="24"/>
              </w:rPr>
              <w:t>the Loc</w:t>
            </w:r>
            <w:r>
              <w:rPr>
                <w:rFonts w:ascii="Arial" w:eastAsia="Arial" w:hAnsi="Arial"/>
                <w:sz w:val="24"/>
                <w:szCs w:val="24"/>
              </w:rPr>
              <w:t>al Government Pension Scheme as governed by the LGPS Regulations, and any other regulations (in each case as amended from time to time) which are from time  to time applicable to the Local Government Pension Scheme;</w:t>
            </w:r>
          </w:p>
        </w:tc>
      </w:tr>
      <w:tr w:rsidR="00D331C1">
        <w:trPr>
          <w:trHeight w:val="990"/>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D331C1" w:rsidRDefault="00F85E67">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D331C1">
        <w:trPr>
          <w:trHeight w:val="900"/>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D331C1" w:rsidRDefault="00F85E67">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D331C1">
        <w:trPr>
          <w:trHeight w:val="900"/>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D331C1" w:rsidRDefault="00F85E67">
            <w:pPr>
              <w:rPr>
                <w:rFonts w:ascii="Arial" w:eastAsia="Arial" w:hAnsi="Arial"/>
                <w:sz w:val="24"/>
                <w:szCs w:val="24"/>
              </w:rPr>
            </w:pPr>
            <w:r>
              <w:rPr>
                <w:rFonts w:ascii="Arial" w:eastAsia="Arial" w:hAnsi="Arial"/>
                <w:sz w:val="24"/>
                <w:szCs w:val="24"/>
              </w:rPr>
              <w:t xml:space="preserve">any LGPS Fair Deal Employee who at </w:t>
            </w:r>
            <w:r>
              <w:rPr>
                <w:rFonts w:ascii="Arial" w:eastAsia="Arial" w:hAnsi="Arial"/>
                <w:sz w:val="24"/>
                <w:szCs w:val="24"/>
              </w:rPr>
              <w:t>the relevant time is an active member or eligible to participate in the LGPS under an LGPS Admission Agreement;</w:t>
            </w:r>
          </w:p>
        </w:tc>
      </w:tr>
      <w:tr w:rsidR="00D331C1">
        <w:trPr>
          <w:trHeight w:val="900"/>
        </w:trPr>
        <w:tc>
          <w:tcPr>
            <w:tcW w:w="2635" w:type="dxa"/>
            <w:shd w:val="clear" w:color="auto" w:fill="auto"/>
          </w:tcPr>
          <w:p w:rsidR="00D331C1" w:rsidRDefault="00F85E6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D331C1" w:rsidRDefault="00F85E67">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D331C1">
        <w:trPr>
          <w:trHeight w:val="1665"/>
        </w:trPr>
        <w:tc>
          <w:tcPr>
            <w:tcW w:w="2635" w:type="dxa"/>
            <w:shd w:val="clear" w:color="auto" w:fill="auto"/>
          </w:tcPr>
          <w:p w:rsidR="00D331C1" w:rsidRDefault="00F85E67">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D331C1" w:rsidRDefault="00F85E67">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rsidR="00D331C1" w:rsidRDefault="00D331C1">
      <w:pPr>
        <w:pStyle w:val="Heading2"/>
        <w:rPr>
          <w:rFonts w:ascii="Arial" w:eastAsia="Arial" w:hAnsi="Arial"/>
          <w:sz w:val="24"/>
          <w:szCs w:val="24"/>
        </w:rPr>
      </w:pPr>
    </w:p>
    <w:p w:rsidR="00D331C1" w:rsidRDefault="00F85E67">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D331C1" w:rsidRDefault="00F85E67">
      <w:pPr>
        <w:numPr>
          <w:ilvl w:val="1"/>
          <w:numId w:val="1"/>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sz w:val="24"/>
          <w:szCs w:val="24"/>
        </w:rPr>
        <w:t xml:space="preserv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rsidR="00D331C1" w:rsidRDefault="00F85E67">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D331C1" w:rsidRDefault="00F85E67">
      <w:pPr>
        <w:numPr>
          <w:ilvl w:val="1"/>
          <w:numId w:val="1"/>
        </w:numPr>
        <w:tabs>
          <w:tab w:val="left" w:pos="720"/>
        </w:tabs>
        <w:ind w:left="708" w:hanging="708"/>
        <w:rPr>
          <w:rFonts w:ascii="Arial" w:eastAsia="Arial" w:hAnsi="Arial"/>
          <w:sz w:val="24"/>
          <w:szCs w:val="24"/>
        </w:rPr>
      </w:pPr>
      <w:r>
        <w:rPr>
          <w:rFonts w:ascii="Arial" w:eastAsia="Arial" w:hAnsi="Arial"/>
          <w:sz w:val="24"/>
          <w:szCs w:val="24"/>
        </w:rPr>
        <w:t>[An</w:t>
      </w:r>
      <w:r>
        <w:rPr>
          <w:rFonts w:ascii="Arial" w:eastAsia="Arial" w:hAnsi="Arial"/>
          <w:sz w:val="24"/>
          <w:szCs w:val="24"/>
        </w:rPr>
        <w:t>y LGPS Fair Deal Employees who:</w:t>
      </w:r>
    </w:p>
    <w:p w:rsidR="00D331C1" w:rsidRDefault="00F85E67">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D331C1" w:rsidRDefault="00F85E67">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w:t>
      </w:r>
      <w:r>
        <w:rPr>
          <w:rFonts w:ascii="Arial" w:eastAsia="Arial" w:hAnsi="Arial"/>
          <w:sz w:val="24"/>
          <w:szCs w:val="24"/>
        </w:rPr>
        <w:t xml:space="preserve"> Relevant Transfer Date if they wish to do so. ]</w:t>
      </w:r>
    </w:p>
    <w:p w:rsidR="00D331C1" w:rsidRDefault="00F85E67">
      <w:pPr>
        <w:tabs>
          <w:tab w:val="left" w:pos="720"/>
        </w:tabs>
        <w:ind w:left="708"/>
        <w:rPr>
          <w:rFonts w:ascii="Arial" w:eastAsia="Arial" w:hAnsi="Arial"/>
          <w:b/>
          <w:sz w:val="24"/>
          <w:szCs w:val="24"/>
        </w:rPr>
      </w:pPr>
      <w:r>
        <w:rPr>
          <w:rFonts w:ascii="Arial" w:eastAsia="Arial" w:hAnsi="Arial"/>
          <w:b/>
          <w:sz w:val="24"/>
          <w:szCs w:val="24"/>
        </w:rPr>
        <w:t>OPTION 2</w:t>
      </w:r>
    </w:p>
    <w:p w:rsidR="00D331C1" w:rsidRDefault="00F85E67">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D331C1" w:rsidRDefault="00F85E67">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D331C1" w:rsidRDefault="00F85E67">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w:t>
      </w:r>
      <w:r>
        <w:rPr>
          <w:rFonts w:ascii="Arial" w:eastAsia="Arial" w:hAnsi="Arial"/>
          <w:sz w:val="24"/>
          <w:szCs w:val="24"/>
        </w:rPr>
        <w:t xml:space="preserve">Comparable pension scheme) but not active members of the LGPS (or a Broadly Comparable pension scheme) immediately before the Relevant Transfer Date </w:t>
      </w:r>
    </w:p>
    <w:p w:rsidR="00D331C1" w:rsidRDefault="00F85E67">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w:t>
      </w:r>
      <w:r>
        <w:rPr>
          <w:rFonts w:ascii="Arial" w:eastAsia="Arial" w:hAnsi="Arial"/>
          <w:sz w:val="24"/>
          <w:szCs w:val="24"/>
        </w:rPr>
        <w:t xml:space="preserve"> they cease to be eligible for membership of the LGPS.] </w:t>
      </w:r>
    </w:p>
    <w:p w:rsidR="00D331C1" w:rsidRDefault="00F85E67">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The Supplier will (and will procure that its Subcontractors (if any) will) provide at its own cost any indemnity, bond or guarantee required by an Administering Buyer in relation to an LGPS Admission</w:t>
      </w:r>
      <w:r>
        <w:rPr>
          <w:rFonts w:ascii="Arial" w:eastAsia="Arial" w:hAnsi="Arial"/>
          <w:color w:val="000000"/>
          <w:sz w:val="24"/>
          <w:szCs w:val="24"/>
        </w:rPr>
        <w:t xml:space="preserve"> Agreement.  </w:t>
      </w:r>
    </w:p>
    <w:p w:rsidR="00D331C1" w:rsidRDefault="00F85E67">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lastRenderedPageBreak/>
        <w:t>Broadly Comparable Scheme</w:t>
      </w:r>
    </w:p>
    <w:p w:rsidR="00D331C1" w:rsidRDefault="00F85E67">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  the</w:t>
      </w:r>
      <w:r>
        <w:rPr>
          <w:rFonts w:ascii="Arial" w:eastAsia="Arial" w:hAnsi="Arial"/>
          <w:sz w:val="24"/>
          <w:szCs w:val="24"/>
        </w:rPr>
        <w:t xml:space="preserve"> Supplier shall (and procure that its Subcontractors shall), with effect from the Relevant Transfer Date, offer the LGPS Fair Deal Employees membership of a pension scheme which is Broadly Comparable to LGPS on the Relevant Transfer Date in accordance with</w:t>
      </w:r>
      <w:r>
        <w:rPr>
          <w:rFonts w:ascii="Arial" w:eastAsia="Arial" w:hAnsi="Arial"/>
          <w:sz w:val="24"/>
          <w:szCs w:val="24"/>
        </w:rPr>
        <w:t xml:space="preserve"> the provisions of paragraph 10 of Part D. </w:t>
      </w:r>
    </w:p>
    <w:p w:rsidR="00D331C1" w:rsidRDefault="00F85E67">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w:t>
      </w:r>
      <w:r>
        <w:rPr>
          <w:rFonts w:ascii="Arial" w:eastAsia="Arial" w:hAnsi="Arial"/>
          <w:sz w:val="24"/>
          <w:szCs w:val="24"/>
        </w:rPr>
        <w:t xml:space="preserve"> reason at a time when the Supplier or Subcontractors still employs any LGPS Eligible Employees, the Supplier shall (and procure that its Subcontractors shall) at no extra cost to the Buyer, offer the remaining LGPS Eligible Employees membership of a pensi</w:t>
      </w:r>
      <w:r>
        <w:rPr>
          <w:rFonts w:ascii="Arial" w:eastAsia="Arial" w:hAnsi="Arial"/>
          <w:sz w:val="24"/>
          <w:szCs w:val="24"/>
        </w:rPr>
        <w:t>on scheme which is Broadly Comparable to the LGPS on the date the LGPS Eligible Employees ceased to participate in the LGPS in accordance with the provisions of paragraph 11 of Part D.</w:t>
      </w:r>
    </w:p>
    <w:p w:rsidR="00D331C1" w:rsidRDefault="00F85E67">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rsidR="00D331C1" w:rsidRDefault="00F85E67">
      <w:pPr>
        <w:pStyle w:val="Heading3"/>
        <w:ind w:left="720" w:hanging="10"/>
        <w:rPr>
          <w:rFonts w:ascii="Arial" w:eastAsia="Arial" w:hAnsi="Arial"/>
          <w:sz w:val="24"/>
          <w:szCs w:val="24"/>
        </w:rPr>
      </w:pPr>
      <w:r>
        <w:rPr>
          <w:rFonts w:ascii="Arial" w:eastAsia="Arial" w:hAnsi="Arial"/>
          <w:sz w:val="24"/>
          <w:szCs w:val="24"/>
        </w:rPr>
        <w:t>Where the Supplier and/or any of its Subcontract</w:t>
      </w:r>
      <w:r>
        <w:rPr>
          <w:rFonts w:ascii="Arial" w:eastAsia="Arial" w:hAnsi="Arial"/>
          <w:sz w:val="24"/>
          <w:szCs w:val="24"/>
        </w:rPr>
        <w:t>ors is an LGPS Admission Body, the Supplier shall (and procure that its Subcontractors shall) comply with its obligations under regulation 60 of the 2013 Regulations in relation to the preparation of a discretionary policy statement.</w:t>
      </w:r>
    </w:p>
    <w:p w:rsidR="00D331C1" w:rsidRDefault="00F85E67">
      <w:pPr>
        <w:rPr>
          <w:rFonts w:ascii="Arial" w:eastAsia="Arial" w:hAnsi="Arial"/>
          <w:sz w:val="24"/>
          <w:szCs w:val="24"/>
        </w:rPr>
      </w:pPr>
      <w:r>
        <w:rPr>
          <w:rFonts w:ascii="Arial" w:eastAsia="Arial" w:hAnsi="Arial"/>
          <w:sz w:val="24"/>
          <w:szCs w:val="24"/>
        </w:rPr>
        <w:t xml:space="preserve"> </w:t>
      </w:r>
    </w:p>
    <w:p w:rsidR="00D331C1" w:rsidRDefault="00F85E67">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D331C1" w:rsidRDefault="00F85E67">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D331C1" w:rsidRDefault="00F85E67">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D331C1" w:rsidRDefault="00F85E67">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rsidR="00D331C1" w:rsidRDefault="00F85E67">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w:t>
      </w:r>
      <w:r>
        <w:rPr>
          <w:rFonts w:ascii="Arial" w:eastAsia="Arial" w:hAnsi="Arial"/>
          <w:sz w:val="24"/>
          <w:szCs w:val="24"/>
        </w:rPr>
        <w:t>hat Contract Year, as the case may be, to the Fund.</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w:t>
      </w:r>
      <w:r>
        <w:rPr>
          <w:rFonts w:ascii="Arial" w:eastAsia="Arial" w:hAnsi="Arial"/>
          <w:color w:val="000000"/>
          <w:sz w:val="24"/>
          <w:szCs w:val="24"/>
        </w:rPr>
        <w:t>rement benefits arising on redundancy or as a result of business efficiency under Regulation 30(7) of the 2013 Regulations or otherwise;</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w:t>
      </w:r>
      <w:r>
        <w:rPr>
          <w:rFonts w:ascii="Arial" w:eastAsia="Arial" w:hAnsi="Arial"/>
          <w:color w:val="000000"/>
          <w:sz w:val="24"/>
          <w:szCs w:val="24"/>
        </w:rPr>
        <w:t>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w:t>
      </w:r>
      <w:r>
        <w:rPr>
          <w:rFonts w:ascii="Arial" w:eastAsia="Arial" w:hAnsi="Arial"/>
          <w:color w:val="000000"/>
          <w:sz w:val="24"/>
          <w:szCs w:val="24"/>
        </w:rPr>
        <w:t xml:space="preserve"> without limitation any decision made under Regulation 30(8) of the 2013 Regulations or Schedule 2 of The Local Government Pension Scheme (Transitional Provisions, Savings and Amendment) Regulations 2014;</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w:t>
      </w:r>
      <w:r>
        <w:rPr>
          <w:rFonts w:ascii="Arial" w:eastAsia="Arial" w:hAnsi="Arial"/>
          <w:color w:val="000000"/>
          <w:sz w:val="24"/>
          <w:szCs w:val="24"/>
        </w:rPr>
        <w:t xml:space="preserve"> enhanced benefits made at the discretion of the Supplier or any relevant Subcontractors including without limitation additional pension awarded under Regulation 31 of the 2013 Regulations or otherwise;</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w:t>
      </w:r>
      <w:r>
        <w:rPr>
          <w:rFonts w:ascii="Arial" w:eastAsia="Arial" w:hAnsi="Arial"/>
          <w:color w:val="000000"/>
          <w:sz w:val="24"/>
          <w:szCs w:val="24"/>
        </w:rPr>
        <w:t xml:space="preserve">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w:t>
      </w:r>
      <w:r>
        <w:rPr>
          <w:rFonts w:ascii="Arial" w:eastAsia="Arial" w:hAnsi="Arial"/>
          <w:color w:val="000000"/>
          <w:sz w:val="24"/>
          <w:szCs w:val="24"/>
        </w:rPr>
        <w:t>ontractor is contractually bound to provide such increases on the Relevant Transfer Date);</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w:t>
      </w:r>
      <w:r>
        <w:rPr>
          <w:rFonts w:ascii="Arial" w:eastAsia="Arial" w:hAnsi="Arial"/>
          <w:color w:val="000000"/>
          <w:sz w:val="24"/>
          <w:szCs w:val="24"/>
        </w:rPr>
        <w:t xml:space="preserve">ations by the Supplier or any relevant Subcontractors where a member does not have an absolute entitlement to that benefit under the LGPS; </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w:t>
      </w:r>
      <w:r>
        <w:rPr>
          <w:rFonts w:ascii="Arial" w:eastAsia="Arial" w:hAnsi="Arial"/>
          <w:color w:val="000000"/>
          <w:sz w:val="24"/>
          <w:szCs w:val="24"/>
        </w:rPr>
        <w:t xml:space="preserve">ibution rate, including without limitation an amount specified in a notice given by the Administering Buyer under Regulation 70 of the 2013 Regulations; </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w:t>
      </w:r>
      <w:r>
        <w:rPr>
          <w:rFonts w:ascii="Arial" w:eastAsia="Arial" w:hAnsi="Arial"/>
          <w:color w:val="000000"/>
          <w:sz w:val="24"/>
          <w:szCs w:val="24"/>
        </w:rPr>
        <w:t xml:space="preserve"> or a Subcontractor from the Fund Actuary; and/or</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Pr>
          <w:rFonts w:ascii="Arial" w:eastAsia="Arial" w:hAnsi="Arial"/>
          <w:color w:val="000000"/>
          <w:sz w:val="24"/>
          <w:szCs w:val="24"/>
        </w:rPr>
        <w:t>rded and excluded from the calculation. In the event of any dispute as to level of any cost that should be excluded from the calculation, the opinion of the Fund Actuary shall be final and binding.</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w:t>
      </w:r>
      <w:r>
        <w:rPr>
          <w:rFonts w:ascii="Arial" w:eastAsia="Arial" w:hAnsi="Arial"/>
          <w:color w:val="000000"/>
          <w:sz w:val="24"/>
          <w:szCs w:val="24"/>
        </w:rPr>
        <w:t>on and a revised rates and adjustment certificate under the LGPS Regulations and/or the terms of the LGPS Admission Agreement when the LGPS Admission Agreement ceases to have effect and the Supplier or any Subcontractor receives payment of an exit credit p</w:t>
      </w:r>
      <w:r>
        <w:rPr>
          <w:rFonts w:ascii="Arial" w:eastAsia="Arial" w:hAnsi="Arial"/>
          <w:color w:val="000000"/>
          <w:sz w:val="24"/>
          <w:szCs w:val="24"/>
        </w:rPr>
        <w:t>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he Supplier shall (or procure that the Subcontractor shall) notify the Buyer in writing within twenty (20) Working Days:</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w:t>
      </w:r>
      <w:r>
        <w:rPr>
          <w:rFonts w:ascii="Arial" w:eastAsia="Arial" w:hAnsi="Arial"/>
          <w:color w:val="000000"/>
          <w:sz w:val="24"/>
          <w:szCs w:val="24"/>
        </w:rPr>
        <w:t>vide a reasonable summary of how the Excess Amount or Refund Amount was calculated; and</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w:t>
      </w:r>
      <w:r>
        <w:rPr>
          <w:rFonts w:ascii="Arial" w:eastAsia="Arial" w:hAnsi="Arial"/>
          <w:color w:val="000000"/>
          <w:sz w:val="24"/>
          <w:szCs w:val="24"/>
        </w:rPr>
        <w:t>de a copy of any revised rates and adjustments certificate detailing the Exit Payment or Exit Credit and its calculation.</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Within twenty (20) Working Days of receiving the notification under paragraph 5.7  above, the Buyer shall either:</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notify the Supplier </w:t>
      </w:r>
      <w:r>
        <w:rPr>
          <w:rFonts w:ascii="Arial" w:eastAsia="Arial" w:hAnsi="Arial"/>
          <w:color w:val="000000"/>
          <w:sz w:val="24"/>
          <w:szCs w:val="24"/>
        </w:rPr>
        <w:t>in writing of its acceptance of the Excess Amount, Refund Amount or Exit Payment;</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D331C1" w:rsidRDefault="00F85E6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w:t>
      </w:r>
      <w:r>
        <w:rPr>
          <w:rFonts w:ascii="Arial" w:eastAsia="Arial" w:hAnsi="Arial"/>
          <w:color w:val="000000"/>
          <w:sz w:val="24"/>
          <w:szCs w:val="24"/>
        </w:rPr>
        <w:t>rify the information or evidence provided.</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w:t>
      </w:r>
      <w:r>
        <w:rPr>
          <w:rFonts w:ascii="Arial" w:eastAsia="Arial" w:hAnsi="Arial"/>
          <w:color w:val="000000"/>
          <w:sz w:val="24"/>
          <w:szCs w:val="24"/>
        </w:rPr>
        <w:t xml:space="preserve">upplier in writing.  In the event that the Supplier and the Buyer are unable to agree the amount of the Excess Amount, Refund Amount or Exit Payment then they shall follow the Dispute Resolution Procedure. </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w:t>
      </w:r>
      <w:r>
        <w:rPr>
          <w:rFonts w:ascii="Arial" w:eastAsia="Arial" w:hAnsi="Arial"/>
          <w:color w:val="000000"/>
          <w:sz w:val="24"/>
          <w:szCs w:val="24"/>
        </w:rPr>
        <w:t>uyer or in accordance with the Dispute Resolution Procedure shall be paid by the Buyer within timescales as agreed between Buyer and Supplier. The amount to be paid by the Buyer shall be an amount equal to the Excess Amount or Exit Payment less an amount e</w:t>
      </w:r>
      <w:r>
        <w:rPr>
          <w:rFonts w:ascii="Arial" w:eastAsia="Arial" w:hAnsi="Arial"/>
          <w:color w:val="000000"/>
          <w:sz w:val="24"/>
          <w:szCs w:val="24"/>
        </w:rPr>
        <w:t xml:space="preserve">qual to any corporation tax relief which has been claimed in respect of the Excess Amount or Exit Payment by the Supplier or a Subcontractor. </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w:t>
      </w:r>
      <w:r>
        <w:rPr>
          <w:rFonts w:ascii="Arial" w:eastAsia="Arial" w:hAnsi="Arial"/>
          <w:color w:val="000000"/>
          <w:sz w:val="24"/>
          <w:szCs w:val="24"/>
        </w:rPr>
        <w:t>pplier or any Subcontractor to the Buyer, shall be paid by the Supplier or any Subcontractor forthwith as the liability has been agreed. In the event the Supplier or any Subcontractor fails to pay any agreed Refund Amount, the Buyer shall demand in writing</w:t>
      </w:r>
      <w:r>
        <w:rPr>
          <w:rFonts w:ascii="Arial" w:eastAsia="Arial" w:hAnsi="Arial"/>
          <w:color w:val="000000"/>
          <w:sz w:val="24"/>
          <w:szCs w:val="24"/>
        </w:rPr>
        <w:t xml:space="preserve"> the immediate payment of the agreed Refund Amount by the Supplier and the Supplier shall make payment within seven (7) Working Days of such demand.</w:t>
      </w:r>
    </w:p>
    <w:p w:rsidR="00D331C1" w:rsidRDefault="00F85E6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D331C1" w:rsidRDefault="00D331C1">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D331C1" w:rsidRDefault="00F85E67">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rsidR="00D331C1" w:rsidRDefault="00F85E67">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D331C1" w:rsidRDefault="00F85E67">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D331C1" w:rsidRDefault="00F85E67">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D331C1" w:rsidRDefault="00F85E67">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xml:space="preserve"> and</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D331C1" w:rsidRDefault="00F85E67">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w:t>
      </w:r>
      <w:r>
        <w:rPr>
          <w:rFonts w:ascii="Arial" w:eastAsia="Arial" w:hAnsi="Arial"/>
          <w:color w:val="000000"/>
          <w:sz w:val="24"/>
          <w:szCs w:val="24"/>
        </w:rPr>
        <w:t>n, the Supplier's Provisional Supplier Personnel List, together with the Staffing Information in relation to the Supplier's Provisional Supplier Personnel List and it shall provide an updated Supplier's Provisional Supplier Personnel List at such intervals</w:t>
      </w:r>
      <w:r>
        <w:rPr>
          <w:rFonts w:ascii="Arial" w:eastAsia="Arial" w:hAnsi="Arial"/>
          <w:color w:val="000000"/>
          <w:sz w:val="24"/>
          <w:szCs w:val="24"/>
        </w:rPr>
        <w:t xml:space="preserve"> as are reasonably requested by the Buyer.  </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rsidR="00D331C1" w:rsidRDefault="00F85E6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rsidR="00D331C1" w:rsidRDefault="00F85E67">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D331C1" w:rsidRDefault="00F85E67">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the Supplier shall provide, and shall procure that each Subcontractor shall provide, to the Buyersuch information as the Buyer may reasonably require relating to the manner in which the Services are organised, which shall include:</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D331C1" w:rsidRDefault="00F85E67">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w:t>
      </w:r>
      <w:r>
        <w:rPr>
          <w:rFonts w:ascii="Arial" w:eastAsia="Arial" w:hAnsi="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Date including providing sufficient information in a</w:t>
      </w:r>
      <w:r>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D331C1" w:rsidRDefault="00F85E67">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 xml:space="preserve">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(i) the Supplier and/or the Subcontractor (as appropriate); and (ii) the Replacement Supplier and/or R</w:t>
      </w:r>
      <w:r>
        <w:rPr>
          <w:rFonts w:ascii="Arial" w:eastAsia="Arial" w:hAnsi="Arial"/>
          <w:color w:val="000000"/>
          <w:sz w:val="24"/>
          <w:szCs w:val="24"/>
        </w:rPr>
        <w:t xml:space="preserve">eplacement Subcontractor.  </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w:t>
      </w:r>
      <w:r>
        <w:rPr>
          <w:rFonts w:ascii="Arial" w:eastAsia="Arial" w:hAnsi="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olor w:val="000000"/>
          <w:sz w:val="24"/>
          <w:szCs w:val="24"/>
        </w:rPr>
        <w:t xml:space="preserve">nsfer Date;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D331C1" w:rsidRDefault="00F85E67">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D331C1" w:rsidRDefault="00F85E67">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w:t>
      </w:r>
      <w:r>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w:t>
      </w:r>
      <w:r>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D331C1" w:rsidRDefault="00F85E67">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w:t>
      </w:r>
      <w:r>
        <w:rPr>
          <w:rFonts w:ascii="Arial" w:eastAsia="Arial" w:hAnsi="Arial"/>
          <w:sz w:val="24"/>
          <w:szCs w:val="24"/>
        </w:rPr>
        <w:t>he proceeding, claim or demand by HMRC or other statutory authority relates to financial obligations arising on and before the Service Transfer Date; and</w:t>
      </w:r>
    </w:p>
    <w:p w:rsidR="00D331C1" w:rsidRDefault="00F85E67">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w:t>
      </w:r>
      <w:r>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rFonts w:ascii="Arial" w:eastAsia="Arial" w:hAnsi="Arial"/>
          <w:sz w:val="24"/>
          <w:szCs w:val="24"/>
        </w:rPr>
        <w:t>eding, claim or demand by HMRC or other statutory authority relates to financial obligations arising on or before the Service Transfer Date;</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w:t>
      </w:r>
      <w:r>
        <w:rPr>
          <w:rFonts w:ascii="Arial" w:eastAsia="Arial" w:hAnsi="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w:t>
      </w:r>
      <w:r>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Pr>
          <w:rFonts w:ascii="Arial" w:eastAsia="Arial" w:hAnsi="Arial"/>
          <w:color w:val="000000"/>
          <w:sz w:val="24"/>
          <w:szCs w:val="24"/>
        </w:rPr>
        <w:t>ontractor may be liable by virtue of the relevant Contract and/or the Employment Regulations and/or the Acquired Rights Directive; and</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w:t>
      </w:r>
      <w:r>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Pr>
          <w:rFonts w:ascii="Arial" w:eastAsia="Arial" w:hAnsi="Arial"/>
          <w:color w:val="000000"/>
          <w:sz w:val="24"/>
          <w:szCs w:val="24"/>
        </w:rPr>
        <w:t>ility arises from the failure by the Buyer and/or Replacement Supplier to comply with regulation 13(4) of the Employment Regulations.</w:t>
      </w:r>
    </w:p>
    <w:p w:rsidR="00D331C1" w:rsidRDefault="00D331C1">
      <w:pPr>
        <w:pBdr>
          <w:top w:val="nil"/>
          <w:left w:val="nil"/>
          <w:bottom w:val="nil"/>
          <w:right w:val="nil"/>
          <w:between w:val="nil"/>
        </w:pBdr>
        <w:spacing w:before="120" w:after="120"/>
        <w:ind w:left="2214" w:hanging="1080"/>
        <w:rPr>
          <w:rFonts w:ascii="Arial" w:eastAsia="Arial" w:hAnsi="Arial"/>
          <w:color w:val="000000"/>
          <w:sz w:val="24"/>
          <w:szCs w:val="24"/>
        </w:rPr>
      </w:pP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rsidR="00D331C1" w:rsidRDefault="00D331C1">
      <w:pPr>
        <w:pBdr>
          <w:top w:val="nil"/>
          <w:left w:val="nil"/>
          <w:bottom w:val="nil"/>
          <w:right w:val="nil"/>
          <w:between w:val="nil"/>
        </w:pBdr>
        <w:spacing w:before="120" w:after="120"/>
        <w:ind w:left="1134" w:hanging="1080"/>
        <w:rPr>
          <w:rFonts w:eastAsia="Calibri" w:cs="Calibri"/>
          <w:color w:val="000000"/>
        </w:rPr>
      </w:pPr>
    </w:p>
    <w:p w:rsidR="00D331C1" w:rsidRDefault="00F85E67">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rsidR="00D331C1" w:rsidRDefault="00F85E67">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D331C1" w:rsidRDefault="00F85E67">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D331C1" w:rsidRDefault="00F85E67">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D331C1" w:rsidRDefault="00F85E67">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rsidR="00D331C1" w:rsidRDefault="00F85E67">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D331C1" w:rsidRDefault="00F85E67">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D331C1" w:rsidRDefault="00F85E67">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D331C1" w:rsidRDefault="00F85E67">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D331C1" w:rsidRDefault="00F85E67">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D331C1" w:rsidRDefault="00F85E67">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w:t>
      </w:r>
      <w:r>
        <w:rPr>
          <w:rFonts w:ascii="Arial" w:eastAsia="Arial" w:hAnsi="Arial"/>
          <w:color w:val="000000"/>
          <w:sz w:val="24"/>
          <w:szCs w:val="24"/>
        </w:rPr>
        <w:t xml:space="preserve"> the Replacement Supplier and/or Replacement Subcontractor to the Supplier within 6 months of the Service Transfer Date..</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w:t>
      </w:r>
      <w:r>
        <w:rPr>
          <w:rFonts w:ascii="Arial" w:eastAsia="Arial" w:hAnsi="Arial"/>
          <w:color w:val="000000"/>
          <w:sz w:val="24"/>
          <w:szCs w:val="24"/>
        </w:rPr>
        <w:t>eplacement Supplier and/or Replacement Subcontractor within the time scales set out in Paragraphs 2.5 to 2.7, such person shall be treated as a Transferring Supplier Employee. .</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D331C1" w:rsidRDefault="00F85E67">
      <w:pPr>
        <w:pStyle w:val="Heading4"/>
        <w:numPr>
          <w:ilvl w:val="3"/>
          <w:numId w:val="3"/>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rsidR="00D331C1" w:rsidRDefault="00F85E67">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D331C1" w:rsidRDefault="00D331C1">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rsidR="00D331C1" w:rsidRDefault="00F85E67">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D331C1" w:rsidRDefault="00F85E67">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D331C1" w:rsidRDefault="00F85E67">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rsidR="00D331C1" w:rsidRDefault="00F85E67">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rsidR="00D331C1" w:rsidRDefault="00F85E67">
      <w:pPr>
        <w:pStyle w:val="Heading5"/>
        <w:numPr>
          <w:ilvl w:val="4"/>
          <w:numId w:val="11"/>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rsidR="00D331C1" w:rsidRDefault="00F85E67">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 xml:space="preserve">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D331C1" w:rsidRDefault="00D331C1">
      <w:pPr>
        <w:pBdr>
          <w:top w:val="nil"/>
          <w:left w:val="nil"/>
          <w:bottom w:val="nil"/>
          <w:right w:val="nil"/>
          <w:between w:val="nil"/>
        </w:pBdr>
        <w:spacing w:before="120" w:after="120"/>
        <w:ind w:left="2214" w:hanging="1080"/>
        <w:rPr>
          <w:rFonts w:ascii="Arial" w:eastAsia="Arial" w:hAnsi="Arial"/>
          <w:color w:val="000000"/>
          <w:sz w:val="24"/>
          <w:szCs w:val="24"/>
        </w:rPr>
      </w:pPr>
    </w:p>
    <w:p w:rsidR="00D331C1" w:rsidRDefault="00F85E67">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D331C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E67" w:rsidRDefault="00F85E67">
      <w:pPr>
        <w:spacing w:after="0"/>
      </w:pPr>
      <w:r>
        <w:separator/>
      </w:r>
    </w:p>
  </w:endnote>
  <w:endnote w:type="continuationSeparator" w:id="0">
    <w:p w:rsidR="00F85E67" w:rsidRDefault="00F85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1C1" w:rsidRDefault="00D331C1">
    <w:pPr>
      <w:tabs>
        <w:tab w:val="center" w:pos="4513"/>
        <w:tab w:val="right" w:pos="9026"/>
      </w:tabs>
      <w:spacing w:after="0"/>
      <w:rPr>
        <w:rFonts w:ascii="Arial" w:eastAsia="Arial" w:hAnsi="Arial"/>
        <w:color w:val="A6A6A6"/>
        <w:sz w:val="20"/>
        <w:szCs w:val="20"/>
      </w:rPr>
    </w:pPr>
  </w:p>
  <w:p w:rsidR="00D331C1" w:rsidRDefault="00F85E6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035B2A">
      <w:rPr>
        <w:rFonts w:ascii="Arial" w:eastAsia="Arial" w:hAnsi="Arial"/>
        <w:sz w:val="20"/>
        <w:szCs w:val="20"/>
      </w:rPr>
      <w:t>6285</w:t>
    </w:r>
  </w:p>
  <w:p w:rsidR="00D331C1" w:rsidRDefault="00F85E6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035B2A">
      <w:rPr>
        <w:rFonts w:ascii="Arial" w:eastAsia="Arial" w:hAnsi="Arial"/>
        <w:color w:val="000000"/>
        <w:sz w:val="20"/>
        <w:szCs w:val="20"/>
      </w:rPr>
      <w:fldChar w:fldCharType="separate"/>
    </w:r>
    <w:r w:rsidR="00035B2A">
      <w:rPr>
        <w:rFonts w:ascii="Arial" w:eastAsia="Arial" w:hAnsi="Arial"/>
        <w:noProof/>
        <w:color w:val="000000"/>
        <w:sz w:val="20"/>
        <w:szCs w:val="20"/>
      </w:rPr>
      <w:t>1</w:t>
    </w:r>
    <w:r>
      <w:rPr>
        <w:rFonts w:ascii="Arial" w:eastAsia="Arial" w:hAnsi="Arial"/>
        <w:color w:val="000000"/>
        <w:sz w:val="20"/>
        <w:szCs w:val="20"/>
      </w:rPr>
      <w:fldChar w:fldCharType="end"/>
    </w:r>
  </w:p>
  <w:p w:rsidR="00D331C1" w:rsidRDefault="00F85E67">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1C1" w:rsidRDefault="00D331C1">
    <w:pPr>
      <w:tabs>
        <w:tab w:val="center" w:pos="4513"/>
        <w:tab w:val="right" w:pos="9026"/>
      </w:tabs>
      <w:spacing w:after="0"/>
      <w:rPr>
        <w:rFonts w:ascii="Arial" w:eastAsia="Arial" w:hAnsi="Arial"/>
        <w:color w:val="A6A6A6"/>
        <w:sz w:val="20"/>
        <w:szCs w:val="20"/>
      </w:rPr>
    </w:pPr>
  </w:p>
  <w:p w:rsidR="00D331C1" w:rsidRDefault="00F85E6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D331C1" w:rsidRDefault="00F85E6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D331C1" w:rsidRDefault="00F85E67">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E67" w:rsidRDefault="00F85E67">
      <w:pPr>
        <w:spacing w:after="0"/>
      </w:pPr>
      <w:r>
        <w:separator/>
      </w:r>
    </w:p>
  </w:footnote>
  <w:footnote w:type="continuationSeparator" w:id="0">
    <w:p w:rsidR="00F85E67" w:rsidRDefault="00F85E67">
      <w:pPr>
        <w:spacing w:after="0"/>
      </w:pPr>
      <w:r>
        <w:continuationSeparator/>
      </w:r>
    </w:p>
  </w:footnote>
  <w:footnote w:id="1">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w:t>
      </w:r>
      <w:r>
        <w:rPr>
          <w:rFonts w:eastAsia="Calibri" w:cs="Calibri"/>
          <w:color w:val="000000"/>
          <w:sz w:val="20"/>
          <w:szCs w:val="20"/>
          <w:highlight w:val="yellow"/>
        </w:rPr>
        <w:t>is definition.</w:t>
      </w:r>
    </w:p>
  </w:footnote>
  <w:footnote w:id="7">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D331C1" w:rsidRDefault="00F85E6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1C1" w:rsidRDefault="00F85E6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D331C1" w:rsidRDefault="00F85E67">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D331C1" w:rsidRDefault="00F85E6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p w:rsidR="00D331C1" w:rsidRDefault="00D331C1">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1C1" w:rsidRDefault="00D331C1">
    <w:pPr>
      <w:pBdr>
        <w:top w:val="nil"/>
        <w:left w:val="nil"/>
        <w:bottom w:val="nil"/>
        <w:right w:val="nil"/>
        <w:between w:val="nil"/>
      </w:pBdr>
      <w:tabs>
        <w:tab w:val="center" w:pos="4513"/>
        <w:tab w:val="right" w:pos="9026"/>
      </w:tabs>
      <w:spacing w:after="0"/>
      <w:rPr>
        <w:rFonts w:eastAsia="Calibri" w:cs="Calibri"/>
        <w:color w:val="000000"/>
      </w:rPr>
    </w:pPr>
  </w:p>
  <w:p w:rsidR="00D331C1" w:rsidRDefault="00D331C1">
    <w:pPr>
      <w:pBdr>
        <w:top w:val="nil"/>
        <w:left w:val="nil"/>
        <w:bottom w:val="nil"/>
        <w:right w:val="nil"/>
        <w:between w:val="nil"/>
      </w:pBdr>
      <w:tabs>
        <w:tab w:val="center" w:pos="4513"/>
        <w:tab w:val="right" w:pos="9026"/>
      </w:tabs>
      <w:spacing w:after="0"/>
      <w:rPr>
        <w:rFonts w:eastAsia="Calibri" w:cs="Calibri"/>
        <w:color w:val="000000"/>
      </w:rPr>
    </w:pPr>
  </w:p>
  <w:p w:rsidR="00D331C1" w:rsidRDefault="00D331C1">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BFB"/>
    <w:multiLevelType w:val="multilevel"/>
    <w:tmpl w:val="D036533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9F64C7E"/>
    <w:multiLevelType w:val="multilevel"/>
    <w:tmpl w:val="A5F2A4F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912751E"/>
    <w:multiLevelType w:val="multilevel"/>
    <w:tmpl w:val="BFBC24A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9E2171"/>
    <w:multiLevelType w:val="multilevel"/>
    <w:tmpl w:val="36326E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D2831EF"/>
    <w:multiLevelType w:val="multilevel"/>
    <w:tmpl w:val="D8F0FBF8"/>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24602C49"/>
    <w:multiLevelType w:val="multilevel"/>
    <w:tmpl w:val="4F2CB368"/>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8AD3072"/>
    <w:multiLevelType w:val="multilevel"/>
    <w:tmpl w:val="72DCC7B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7" w15:restartNumberingAfterBreak="0">
    <w:nsid w:val="34803FB3"/>
    <w:multiLevelType w:val="multilevel"/>
    <w:tmpl w:val="E23A5D0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C57044D"/>
    <w:multiLevelType w:val="multilevel"/>
    <w:tmpl w:val="66728BA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4744FB1"/>
    <w:multiLevelType w:val="multilevel"/>
    <w:tmpl w:val="F266DCE2"/>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7EA30CB"/>
    <w:multiLevelType w:val="multilevel"/>
    <w:tmpl w:val="3538F1C0"/>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50B751F1"/>
    <w:multiLevelType w:val="multilevel"/>
    <w:tmpl w:val="96DE4D5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80508D1"/>
    <w:multiLevelType w:val="multilevel"/>
    <w:tmpl w:val="B9A0BE84"/>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58951E5E"/>
    <w:multiLevelType w:val="multilevel"/>
    <w:tmpl w:val="67A231D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4" w15:restartNumberingAfterBreak="0">
    <w:nsid w:val="5A194486"/>
    <w:multiLevelType w:val="multilevel"/>
    <w:tmpl w:val="1CA2FD98"/>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76B56111"/>
    <w:multiLevelType w:val="multilevel"/>
    <w:tmpl w:val="266E97F8"/>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9C836C9"/>
    <w:multiLevelType w:val="multilevel"/>
    <w:tmpl w:val="E1B2E56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B105B31"/>
    <w:multiLevelType w:val="multilevel"/>
    <w:tmpl w:val="4AB2137A"/>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D881918"/>
    <w:multiLevelType w:val="multilevel"/>
    <w:tmpl w:val="B530625E"/>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9"/>
  </w:num>
  <w:num w:numId="2">
    <w:abstractNumId w:val="5"/>
  </w:num>
  <w:num w:numId="3">
    <w:abstractNumId w:val="4"/>
  </w:num>
  <w:num w:numId="4">
    <w:abstractNumId w:val="17"/>
  </w:num>
  <w:num w:numId="5">
    <w:abstractNumId w:val="12"/>
  </w:num>
  <w:num w:numId="6">
    <w:abstractNumId w:val="6"/>
  </w:num>
  <w:num w:numId="7">
    <w:abstractNumId w:val="0"/>
  </w:num>
  <w:num w:numId="8">
    <w:abstractNumId w:val="2"/>
  </w:num>
  <w:num w:numId="9">
    <w:abstractNumId w:val="10"/>
  </w:num>
  <w:num w:numId="10">
    <w:abstractNumId w:val="15"/>
  </w:num>
  <w:num w:numId="11">
    <w:abstractNumId w:val="14"/>
  </w:num>
  <w:num w:numId="12">
    <w:abstractNumId w:val="8"/>
  </w:num>
  <w:num w:numId="13">
    <w:abstractNumId w:val="3"/>
  </w:num>
  <w:num w:numId="14">
    <w:abstractNumId w:val="16"/>
  </w:num>
  <w:num w:numId="15">
    <w:abstractNumId w:val="11"/>
  </w:num>
  <w:num w:numId="16">
    <w:abstractNumId w:val="13"/>
  </w:num>
  <w:num w:numId="17">
    <w:abstractNumId w:val="7"/>
  </w:num>
  <w:num w:numId="18">
    <w:abstractNumId w:val="1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1C1"/>
    <w:rsid w:val="00035B2A"/>
    <w:rsid w:val="00D331C1"/>
    <w:rsid w:val="00F85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0722E"/>
  <w15:docId w15:val="{1446085D-F5FB-454D-A943-DE5B09906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xzx3dggu975jqFFc+qlI81lZ0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YV94SjBFM01kUk5kSkxmNU1SSkY4d2xSaHRvZi1XRz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19130</Words>
  <Characters>109043</Characters>
  <Application>Microsoft Office Word</Application>
  <DocSecurity>0</DocSecurity>
  <Lines>908</Lines>
  <Paragraphs>255</Paragraphs>
  <ScaleCrop>false</ScaleCrop>
  <Company/>
  <LinksUpToDate>false</LinksUpToDate>
  <CharactersWithSpaces>127918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2</cp:revision>
  <dcterms:created xsi:type="dcterms:W3CDTF">2020-09-21T08:37:00Z</dcterms:created>
  <dcterms:modified xsi:type="dcterms:W3CDTF">2024-07-12T11:40:00Z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